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D9AFB" w14:textId="1292E719" w:rsidR="00EF1A11" w:rsidRPr="00232EBD" w:rsidRDefault="00234D96" w:rsidP="00092F84">
      <w:pPr>
        <w:spacing w:line="276" w:lineRule="auto"/>
        <w:ind w:right="-96"/>
        <w:jc w:val="both"/>
        <w:rPr>
          <w:rFonts w:ascii="Arial" w:hAnsi="Arial" w:cs="Arial"/>
          <w:sz w:val="22"/>
          <w:szCs w:val="22"/>
        </w:rPr>
      </w:pPr>
      <w:bookmarkStart w:id="0" w:name="_GoBack"/>
      <w:bookmarkEnd w:id="0"/>
      <w:r>
        <w:rPr>
          <w:noProof/>
        </w:rPr>
        <w:drawing>
          <wp:anchor distT="0" distB="0" distL="114300" distR="114300" simplePos="0" relativeHeight="251664384" behindDoc="0" locked="0" layoutInCell="1" allowOverlap="1" wp14:anchorId="5EE72E66" wp14:editId="5683FD40">
            <wp:simplePos x="0" y="0"/>
            <wp:positionH relativeFrom="margin">
              <wp:align>right</wp:align>
            </wp:positionH>
            <wp:positionV relativeFrom="paragraph">
              <wp:posOffset>0</wp:posOffset>
            </wp:positionV>
            <wp:extent cx="1276753" cy="618714"/>
            <wp:effectExtent l="0" t="0" r="0" b="0"/>
            <wp:wrapNone/>
            <wp:docPr id="8" name="Picture 8" descr="C:\Users\Katherine\AppData\Local\Microsoft\Windows\INetCache\Content.Word\ican_log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therine\AppData\Local\Microsoft\Windows\INetCache\Content.Word\ican_logo_RGB-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753" cy="6187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36BA" w:rsidRPr="009836BA">
        <w:rPr>
          <w:rFonts w:ascii="Arial" w:hAnsi="Arial" w:cs="Arial"/>
          <w:noProof/>
          <w:sz w:val="22"/>
          <w:szCs w:val="22"/>
        </w:rPr>
        <w:drawing>
          <wp:anchor distT="152400" distB="152400" distL="152400" distR="152400" simplePos="0" relativeHeight="251662336" behindDoc="1" locked="0" layoutInCell="1" allowOverlap="1" wp14:anchorId="1875FB8C" wp14:editId="248F8AAF">
            <wp:simplePos x="0" y="0"/>
            <wp:positionH relativeFrom="page">
              <wp:align>center</wp:align>
            </wp:positionH>
            <wp:positionV relativeFrom="margin">
              <wp:posOffset>-635</wp:posOffset>
            </wp:positionV>
            <wp:extent cx="1739900" cy="722630"/>
            <wp:effectExtent l="0" t="0" r="0" b="1270"/>
            <wp:wrapNone/>
            <wp:docPr id="15" name="officeArt object"/>
            <wp:cNvGraphicFramePr/>
            <a:graphic xmlns:a="http://schemas.openxmlformats.org/drawingml/2006/main">
              <a:graphicData uri="http://schemas.openxmlformats.org/drawingml/2006/picture">
                <pic:pic xmlns:pic="http://schemas.openxmlformats.org/drawingml/2006/picture">
                  <pic:nvPicPr>
                    <pic:cNvPr id="1073741826" name="image6.tif"/>
                    <pic:cNvPicPr/>
                  </pic:nvPicPr>
                  <pic:blipFill>
                    <a:blip r:embed="rId13">
                      <a:extLst/>
                    </a:blip>
                    <a:stretch>
                      <a:fillRect/>
                    </a:stretch>
                  </pic:blipFill>
                  <pic:spPr>
                    <a:xfrm>
                      <a:off x="0" y="0"/>
                      <a:ext cx="1739900" cy="72263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722D13" w:rsidRPr="00232EBD">
        <w:rPr>
          <w:rFonts w:ascii="Arial" w:hAnsi="Arial" w:cs="Arial"/>
          <w:noProof/>
          <w:sz w:val="22"/>
          <w:szCs w:val="22"/>
        </w:rPr>
        <w:drawing>
          <wp:anchor distT="0" distB="0" distL="114300" distR="114300" simplePos="0" relativeHeight="251656704" behindDoc="0" locked="0" layoutInCell="1" allowOverlap="1" wp14:anchorId="74BF7F4D" wp14:editId="265C5512">
            <wp:simplePos x="0" y="0"/>
            <wp:positionH relativeFrom="column">
              <wp:posOffset>-71161</wp:posOffset>
            </wp:positionH>
            <wp:positionV relativeFrom="paragraph">
              <wp:posOffset>486</wp:posOffset>
            </wp:positionV>
            <wp:extent cx="1917290" cy="745004"/>
            <wp:effectExtent l="0" t="0" r="6985" b="0"/>
            <wp:wrapSquare wrapText="bothSides"/>
            <wp:docPr id="13" name="Picture 1" descr="\\tserver2\data\OFFICE_MANAGEMENT\Office_Templates\Logos and Artwork\Hoyne - CALC logo and stationery masters\CALC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erver2\data\OFFICE_MANAGEMENT\Office_Templates\Logos and Artwork\Hoyne - CALC logo and stationery masters\CALC logo jpeg.jpg"/>
                    <pic:cNvPicPr>
                      <a:picLocks noChangeAspect="1" noChangeArrowheads="1"/>
                    </pic:cNvPicPr>
                  </pic:nvPicPr>
                  <pic:blipFill>
                    <a:blip r:embed="rId14" cstate="print"/>
                    <a:srcRect/>
                    <a:stretch>
                      <a:fillRect/>
                    </a:stretch>
                  </pic:blipFill>
                  <pic:spPr bwMode="auto">
                    <a:xfrm>
                      <a:off x="0" y="0"/>
                      <a:ext cx="1927128" cy="7488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5E87124" w14:textId="336F88AD" w:rsidR="00312829" w:rsidRPr="00232EBD" w:rsidRDefault="00312829" w:rsidP="00092F84">
      <w:pPr>
        <w:spacing w:line="276" w:lineRule="auto"/>
        <w:ind w:right="-96"/>
        <w:jc w:val="both"/>
        <w:rPr>
          <w:rFonts w:ascii="Arial" w:hAnsi="Arial" w:cs="Arial"/>
          <w:sz w:val="22"/>
          <w:szCs w:val="22"/>
        </w:rPr>
      </w:pPr>
    </w:p>
    <w:p w14:paraId="61493FA1" w14:textId="30861D21" w:rsidR="00D94D16" w:rsidRPr="00232EBD" w:rsidRDefault="00D94D16" w:rsidP="00092F84">
      <w:pPr>
        <w:spacing w:line="276" w:lineRule="auto"/>
        <w:ind w:left="7200" w:right="-96"/>
        <w:jc w:val="both"/>
        <w:rPr>
          <w:rFonts w:ascii="Arial" w:hAnsi="Arial" w:cs="Arial"/>
          <w:sz w:val="22"/>
          <w:szCs w:val="22"/>
        </w:rPr>
      </w:pPr>
    </w:p>
    <w:p w14:paraId="521ADD40" w14:textId="08BB54A0" w:rsidR="00D94D16" w:rsidRPr="00232EBD" w:rsidRDefault="00D94D16" w:rsidP="00092F84">
      <w:pPr>
        <w:spacing w:line="276" w:lineRule="auto"/>
        <w:ind w:left="7200" w:right="-96"/>
        <w:jc w:val="both"/>
        <w:rPr>
          <w:rFonts w:ascii="Arial" w:hAnsi="Arial" w:cs="Arial"/>
          <w:sz w:val="22"/>
          <w:szCs w:val="22"/>
        </w:rPr>
      </w:pPr>
    </w:p>
    <w:p w14:paraId="49F3BF37" w14:textId="4FEBD927" w:rsidR="00722D13" w:rsidRPr="00232EBD" w:rsidRDefault="00722D13" w:rsidP="00092F84">
      <w:pPr>
        <w:spacing w:line="276" w:lineRule="auto"/>
        <w:ind w:right="-96"/>
        <w:jc w:val="both"/>
        <w:rPr>
          <w:rFonts w:ascii="Arial" w:hAnsi="Arial" w:cs="Arial"/>
          <w:sz w:val="22"/>
          <w:szCs w:val="22"/>
          <w:highlight w:val="yellow"/>
        </w:rPr>
      </w:pPr>
    </w:p>
    <w:p w14:paraId="4B7FF990" w14:textId="2086685D" w:rsidR="000D1C06" w:rsidRDefault="00A562A1" w:rsidP="00092F84">
      <w:pPr>
        <w:spacing w:line="276" w:lineRule="auto"/>
        <w:ind w:right="-96"/>
        <w:jc w:val="both"/>
        <w:rPr>
          <w:rFonts w:ascii="Arial" w:hAnsi="Arial" w:cs="Arial"/>
          <w:sz w:val="22"/>
          <w:szCs w:val="22"/>
        </w:rPr>
      </w:pPr>
      <w:r>
        <w:rPr>
          <w:noProof/>
        </w:rPr>
        <w:drawing>
          <wp:anchor distT="0" distB="0" distL="114300" distR="114300" simplePos="0" relativeHeight="251663360" behindDoc="0" locked="0" layoutInCell="1" allowOverlap="1" wp14:anchorId="51773F7D" wp14:editId="43EF7EE4">
            <wp:simplePos x="0" y="0"/>
            <wp:positionH relativeFrom="column">
              <wp:posOffset>2143648</wp:posOffset>
            </wp:positionH>
            <wp:positionV relativeFrom="paragraph">
              <wp:posOffset>78590</wp:posOffset>
            </wp:positionV>
            <wp:extent cx="2178423" cy="546433"/>
            <wp:effectExtent l="0" t="0" r="0" b="6350"/>
            <wp:wrapNone/>
            <wp:docPr id="7" name="Picture 7" descr="C:\Users\Katherine\AppData\Local\Microsoft\Windows\INetCache\Content.Word\UCA Synod of VicTas colour 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herine\AppData\Local\Microsoft\Windows\INetCache\Content.Word\UCA Synod of VicTas colour logo hi re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8423" cy="5464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30895E10" wp14:editId="46CF544C">
            <wp:simplePos x="0" y="0"/>
            <wp:positionH relativeFrom="margin">
              <wp:align>left</wp:align>
            </wp:positionH>
            <wp:positionV relativeFrom="paragraph">
              <wp:posOffset>14343</wp:posOffset>
            </wp:positionV>
            <wp:extent cx="1855470" cy="513715"/>
            <wp:effectExtent l="0" t="0" r="0" b="635"/>
            <wp:wrapNone/>
            <wp:docPr id="2" name="Picture 2" descr="C:\Users\Katherine\AppData\Local\Microsoft\Windows\INetCache\Content.Word\FCRC New 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AppData\Local\Microsoft\Windows\INetCache\Content.Word\FCRC New logo (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5470" cy="513715"/>
                    </a:xfrm>
                    <a:prstGeom prst="rect">
                      <a:avLst/>
                    </a:prstGeom>
                    <a:noFill/>
                    <a:ln>
                      <a:noFill/>
                    </a:ln>
                  </pic:spPr>
                </pic:pic>
              </a:graphicData>
            </a:graphic>
          </wp:anchor>
        </w:drawing>
      </w:r>
    </w:p>
    <w:p w14:paraId="63A13C2C" w14:textId="5F5E6903" w:rsidR="009836BA" w:rsidRPr="00232EBD" w:rsidRDefault="00164C19" w:rsidP="00092F84">
      <w:pPr>
        <w:spacing w:line="276" w:lineRule="auto"/>
        <w:ind w:right="-96"/>
        <w:jc w:val="both"/>
        <w:rPr>
          <w:rFonts w:ascii="Arial" w:hAnsi="Arial" w:cs="Arial"/>
          <w:sz w:val="22"/>
          <w:szCs w:val="22"/>
        </w:rPr>
      </w:pPr>
      <w:r w:rsidRPr="009836BA">
        <w:rPr>
          <w:rFonts w:ascii="Arial" w:hAnsi="Arial" w:cs="Arial"/>
          <w:noProof/>
          <w:sz w:val="22"/>
          <w:szCs w:val="22"/>
        </w:rPr>
        <w:drawing>
          <wp:anchor distT="0" distB="0" distL="114300" distR="114300" simplePos="0" relativeHeight="251661312" behindDoc="0" locked="0" layoutInCell="1" allowOverlap="1" wp14:anchorId="3A3E3250" wp14:editId="7472BAEB">
            <wp:simplePos x="0" y="0"/>
            <wp:positionH relativeFrom="margin">
              <wp:posOffset>4948555</wp:posOffset>
            </wp:positionH>
            <wp:positionV relativeFrom="margin">
              <wp:posOffset>1109980</wp:posOffset>
            </wp:positionV>
            <wp:extent cx="678180" cy="1092835"/>
            <wp:effectExtent l="0" t="0" r="762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b="59101"/>
                    <a:stretch>
                      <a:fillRect/>
                    </a:stretch>
                  </pic:blipFill>
                  <pic:spPr bwMode="auto">
                    <a:xfrm>
                      <a:off x="0" y="0"/>
                      <a:ext cx="678180" cy="1092835"/>
                    </a:xfrm>
                    <a:prstGeom prst="rect">
                      <a:avLst/>
                    </a:prstGeom>
                    <a:noFill/>
                    <a:ln w="9525">
                      <a:noFill/>
                      <a:miter lim="800000"/>
                      <a:headEnd/>
                      <a:tailEnd/>
                    </a:ln>
                  </pic:spPr>
                </pic:pic>
              </a:graphicData>
            </a:graphic>
          </wp:anchor>
        </w:drawing>
      </w:r>
    </w:p>
    <w:p w14:paraId="26E75CD0" w14:textId="5A28C1BC" w:rsidR="009836BA" w:rsidRDefault="009836BA" w:rsidP="00092F84">
      <w:pPr>
        <w:spacing w:line="276" w:lineRule="auto"/>
        <w:ind w:right="-96"/>
        <w:jc w:val="both"/>
        <w:rPr>
          <w:rFonts w:ascii="Arial" w:hAnsi="Arial" w:cs="Arial"/>
          <w:sz w:val="22"/>
          <w:szCs w:val="22"/>
        </w:rPr>
      </w:pPr>
    </w:p>
    <w:p w14:paraId="5DB1F826" w14:textId="689D2FB9" w:rsidR="009836BA" w:rsidRDefault="00A562A1" w:rsidP="00092F84">
      <w:pPr>
        <w:spacing w:line="276" w:lineRule="auto"/>
        <w:ind w:right="-96"/>
        <w:jc w:val="both"/>
        <w:rPr>
          <w:rFonts w:ascii="Arial" w:hAnsi="Arial" w:cs="Arial"/>
          <w:sz w:val="22"/>
          <w:szCs w:val="22"/>
        </w:rPr>
      </w:pPr>
      <w:r>
        <w:rPr>
          <w:rFonts w:cs="Arial"/>
          <w:noProof/>
          <w:szCs w:val="22"/>
        </w:rPr>
        <w:drawing>
          <wp:anchor distT="0" distB="0" distL="114300" distR="114300" simplePos="0" relativeHeight="251670528" behindDoc="0" locked="0" layoutInCell="1" allowOverlap="1" wp14:anchorId="3D6A5CA4" wp14:editId="6300E3B6">
            <wp:simplePos x="0" y="0"/>
            <wp:positionH relativeFrom="page">
              <wp:align>center</wp:align>
            </wp:positionH>
            <wp:positionV relativeFrom="paragraph">
              <wp:posOffset>196215</wp:posOffset>
            </wp:positionV>
            <wp:extent cx="1967820" cy="749114"/>
            <wp:effectExtent l="0" t="0" r="0" b="0"/>
            <wp:wrapNone/>
            <wp:docPr id="14" name="Picture 14" descr="C:\Users\cat\AppData\Local\Microsoft\Windows\Temporary Internet Files\Content.Outlook\9ZPDZ7RI\ea6fd0b8-ca4f-4697-ab08-a54a1e9ae8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AppData\Local\Microsoft\Windows\Temporary Internet Files\Content.Outlook\9ZPDZ7RI\ea6fd0b8-ca4f-4697-ab08-a54a1e9ae87c.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67820" cy="74911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72E588" w14:textId="263EF1F1" w:rsidR="009836BA" w:rsidRDefault="009836BA" w:rsidP="00092F84">
      <w:pPr>
        <w:spacing w:line="276" w:lineRule="auto"/>
        <w:ind w:right="-96"/>
        <w:jc w:val="both"/>
        <w:rPr>
          <w:rFonts w:ascii="Arial" w:hAnsi="Arial" w:cs="Arial"/>
          <w:sz w:val="22"/>
          <w:szCs w:val="22"/>
        </w:rPr>
      </w:pPr>
    </w:p>
    <w:p w14:paraId="636711F9" w14:textId="3E483036" w:rsidR="009836BA" w:rsidRDefault="00164C19" w:rsidP="00092F84">
      <w:pPr>
        <w:spacing w:line="276" w:lineRule="auto"/>
        <w:ind w:right="-96"/>
        <w:jc w:val="both"/>
        <w:rPr>
          <w:rFonts w:ascii="Arial" w:hAnsi="Arial" w:cs="Arial"/>
          <w:sz w:val="22"/>
          <w:szCs w:val="22"/>
        </w:rPr>
      </w:pPr>
      <w:r w:rsidRPr="00074F93">
        <w:rPr>
          <w:rFonts w:eastAsia="Arial" w:cs="Arial"/>
          <w:noProof/>
        </w:rPr>
        <w:drawing>
          <wp:anchor distT="0" distB="0" distL="114300" distR="114300" simplePos="0" relativeHeight="251666432" behindDoc="0" locked="0" layoutInCell="1" allowOverlap="1" wp14:anchorId="742760AD" wp14:editId="0A19795B">
            <wp:simplePos x="0" y="0"/>
            <wp:positionH relativeFrom="margin">
              <wp:align>left</wp:align>
            </wp:positionH>
            <wp:positionV relativeFrom="paragraph">
              <wp:posOffset>10160</wp:posOffset>
            </wp:positionV>
            <wp:extent cx="1543050" cy="427809"/>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43050" cy="42780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6A40A8" w14:textId="29684DE0" w:rsidR="00234D96" w:rsidRDefault="00234D96" w:rsidP="00092F84">
      <w:pPr>
        <w:spacing w:line="276" w:lineRule="auto"/>
        <w:ind w:right="-96"/>
        <w:jc w:val="both"/>
        <w:rPr>
          <w:rFonts w:ascii="Arial" w:hAnsi="Arial" w:cs="Arial"/>
          <w:sz w:val="22"/>
          <w:szCs w:val="22"/>
        </w:rPr>
      </w:pPr>
    </w:p>
    <w:p w14:paraId="49F7EAB5" w14:textId="77777777" w:rsidR="00234D96" w:rsidRDefault="00234D96" w:rsidP="00092F84">
      <w:pPr>
        <w:spacing w:line="276" w:lineRule="auto"/>
        <w:ind w:right="-96"/>
        <w:jc w:val="both"/>
        <w:rPr>
          <w:rFonts w:ascii="Arial" w:hAnsi="Arial" w:cs="Arial"/>
          <w:sz w:val="22"/>
          <w:szCs w:val="22"/>
        </w:rPr>
      </w:pPr>
    </w:p>
    <w:p w14:paraId="0846C570" w14:textId="77777777" w:rsidR="00A562A1" w:rsidRDefault="00A562A1" w:rsidP="00092F84">
      <w:pPr>
        <w:spacing w:line="276" w:lineRule="auto"/>
        <w:ind w:right="-96"/>
        <w:jc w:val="both"/>
        <w:rPr>
          <w:rFonts w:ascii="Arial" w:hAnsi="Arial" w:cs="Arial"/>
          <w:sz w:val="22"/>
          <w:szCs w:val="22"/>
        </w:rPr>
      </w:pPr>
    </w:p>
    <w:p w14:paraId="4694E806" w14:textId="77777777" w:rsidR="00A562A1" w:rsidRDefault="00A562A1" w:rsidP="00092F84">
      <w:pPr>
        <w:spacing w:line="276" w:lineRule="auto"/>
        <w:ind w:right="-96"/>
        <w:jc w:val="both"/>
        <w:rPr>
          <w:rFonts w:ascii="Arial" w:hAnsi="Arial" w:cs="Arial"/>
          <w:sz w:val="22"/>
          <w:szCs w:val="22"/>
        </w:rPr>
      </w:pPr>
    </w:p>
    <w:p w14:paraId="6BA6D150" w14:textId="42656307" w:rsidR="00312829" w:rsidRPr="00232EBD" w:rsidRDefault="000D1C06" w:rsidP="00092F84">
      <w:pPr>
        <w:spacing w:line="276" w:lineRule="auto"/>
        <w:ind w:right="-96"/>
        <w:jc w:val="both"/>
        <w:rPr>
          <w:rFonts w:ascii="Arial" w:hAnsi="Arial" w:cs="Arial"/>
          <w:sz w:val="22"/>
          <w:szCs w:val="22"/>
        </w:rPr>
      </w:pPr>
      <w:r w:rsidRPr="00232EBD">
        <w:rPr>
          <w:rFonts w:ascii="Arial" w:hAnsi="Arial" w:cs="Arial"/>
          <w:sz w:val="22"/>
          <w:szCs w:val="22"/>
        </w:rPr>
        <w:t>3 November</w:t>
      </w:r>
      <w:r w:rsidR="00CE6137" w:rsidRPr="00232EBD">
        <w:rPr>
          <w:rFonts w:ascii="Arial" w:hAnsi="Arial" w:cs="Arial"/>
          <w:sz w:val="22"/>
          <w:szCs w:val="22"/>
        </w:rPr>
        <w:t xml:space="preserve"> 2017</w:t>
      </w:r>
    </w:p>
    <w:p w14:paraId="79B8EDEF" w14:textId="77777777" w:rsidR="00312829" w:rsidRPr="00232EBD" w:rsidRDefault="00312829" w:rsidP="00092F84">
      <w:pPr>
        <w:spacing w:line="276" w:lineRule="auto"/>
        <w:ind w:right="-96"/>
        <w:jc w:val="both"/>
        <w:rPr>
          <w:rFonts w:ascii="Arial" w:hAnsi="Arial" w:cs="Arial"/>
          <w:sz w:val="22"/>
          <w:szCs w:val="22"/>
        </w:rPr>
      </w:pPr>
    </w:p>
    <w:p w14:paraId="6721BE3F" w14:textId="32A64F4D" w:rsidR="000D1C06" w:rsidRPr="00232EBD" w:rsidRDefault="000D1C06" w:rsidP="00092F84">
      <w:pPr>
        <w:spacing w:line="276" w:lineRule="auto"/>
        <w:jc w:val="both"/>
        <w:rPr>
          <w:rFonts w:ascii="Arial" w:hAnsi="Arial" w:cs="Arial"/>
          <w:b/>
          <w:sz w:val="22"/>
          <w:szCs w:val="22"/>
        </w:rPr>
      </w:pPr>
      <w:r w:rsidRPr="00232EBD">
        <w:rPr>
          <w:rFonts w:ascii="Arial" w:hAnsi="Arial" w:cs="Arial"/>
          <w:b/>
          <w:sz w:val="22"/>
          <w:szCs w:val="22"/>
        </w:rPr>
        <w:t xml:space="preserve">By email: </w:t>
      </w:r>
      <w:hyperlink r:id="rId20" w:history="1">
        <w:r w:rsidRPr="00232EBD">
          <w:rPr>
            <w:rStyle w:val="Hyperlink"/>
            <w:rFonts w:ascii="Arial" w:hAnsi="Arial" w:cs="Arial"/>
            <w:b/>
            <w:sz w:val="22"/>
            <w:szCs w:val="22"/>
          </w:rPr>
          <w:t>consumercredit@treasury.gov.au</w:t>
        </w:r>
      </w:hyperlink>
      <w:r w:rsidRPr="00232EBD">
        <w:rPr>
          <w:rFonts w:ascii="Arial" w:hAnsi="Arial" w:cs="Arial"/>
          <w:b/>
          <w:sz w:val="22"/>
          <w:szCs w:val="22"/>
        </w:rPr>
        <w:t xml:space="preserve"> </w:t>
      </w:r>
    </w:p>
    <w:p w14:paraId="1973FE8F" w14:textId="0A5FD9F9" w:rsidR="000D1C06" w:rsidRPr="00232EBD" w:rsidRDefault="000D1C06" w:rsidP="00092F84">
      <w:pPr>
        <w:pStyle w:val="NormalWeb"/>
        <w:spacing w:line="276" w:lineRule="auto"/>
        <w:rPr>
          <w:rFonts w:ascii="Arial" w:hAnsi="Arial" w:cs="Arial"/>
          <w:sz w:val="22"/>
          <w:szCs w:val="22"/>
        </w:rPr>
      </w:pPr>
      <w:r w:rsidRPr="00232EBD">
        <w:rPr>
          <w:rFonts w:ascii="Arial" w:hAnsi="Arial" w:cs="Arial"/>
          <w:sz w:val="22"/>
          <w:szCs w:val="22"/>
        </w:rPr>
        <w:t>Financial Services Unit Manager</w:t>
      </w:r>
      <w:r w:rsidRPr="00232EBD">
        <w:rPr>
          <w:rFonts w:ascii="Arial" w:hAnsi="Arial" w:cs="Arial"/>
          <w:sz w:val="22"/>
          <w:szCs w:val="22"/>
        </w:rPr>
        <w:br/>
        <w:t>Business Services Division</w:t>
      </w:r>
      <w:r w:rsidRPr="00232EBD">
        <w:rPr>
          <w:rFonts w:ascii="Arial" w:hAnsi="Arial" w:cs="Arial"/>
          <w:sz w:val="22"/>
          <w:szCs w:val="22"/>
        </w:rPr>
        <w:br/>
        <w:t>The Treasury</w:t>
      </w:r>
      <w:r w:rsidRPr="00232EBD">
        <w:rPr>
          <w:rFonts w:ascii="Arial" w:hAnsi="Arial" w:cs="Arial"/>
          <w:sz w:val="22"/>
          <w:szCs w:val="22"/>
        </w:rPr>
        <w:br/>
        <w:t>Langton Crescent</w:t>
      </w:r>
      <w:r w:rsidRPr="00232EBD">
        <w:rPr>
          <w:rFonts w:ascii="Arial" w:hAnsi="Arial" w:cs="Arial"/>
          <w:sz w:val="22"/>
          <w:szCs w:val="22"/>
        </w:rPr>
        <w:br/>
        <w:t>PARKES ACT 2600</w:t>
      </w:r>
    </w:p>
    <w:p w14:paraId="788EE818" w14:textId="518810E3" w:rsidR="006062E6" w:rsidRPr="00232EBD" w:rsidRDefault="006062E6" w:rsidP="00092F84">
      <w:pPr>
        <w:spacing w:line="276" w:lineRule="auto"/>
        <w:ind w:right="-96"/>
        <w:jc w:val="both"/>
        <w:rPr>
          <w:rFonts w:ascii="Arial" w:hAnsi="Arial" w:cs="Arial"/>
          <w:sz w:val="22"/>
          <w:szCs w:val="22"/>
          <w:lang w:val="en-US"/>
        </w:rPr>
      </w:pPr>
    </w:p>
    <w:p w14:paraId="1D6ADBD4" w14:textId="2E16DE9F" w:rsidR="00312829" w:rsidRPr="00232EBD" w:rsidRDefault="00B72875" w:rsidP="00092F84">
      <w:pPr>
        <w:spacing w:line="276" w:lineRule="auto"/>
        <w:ind w:right="-96"/>
        <w:jc w:val="both"/>
        <w:rPr>
          <w:rFonts w:ascii="Arial" w:hAnsi="Arial" w:cs="Arial"/>
          <w:sz w:val="22"/>
          <w:szCs w:val="22"/>
        </w:rPr>
      </w:pPr>
      <w:r w:rsidRPr="00232EBD">
        <w:rPr>
          <w:rFonts w:ascii="Arial" w:hAnsi="Arial" w:cs="Arial"/>
          <w:sz w:val="22"/>
          <w:szCs w:val="22"/>
        </w:rPr>
        <w:t xml:space="preserve">Dear </w:t>
      </w:r>
      <w:r w:rsidR="00CE6137" w:rsidRPr="00232EBD">
        <w:rPr>
          <w:rFonts w:ascii="Arial" w:hAnsi="Arial" w:cs="Arial"/>
          <w:sz w:val="22"/>
          <w:szCs w:val="22"/>
        </w:rPr>
        <w:t>Sir/Madam</w:t>
      </w:r>
    </w:p>
    <w:p w14:paraId="3E674969" w14:textId="77777777" w:rsidR="007D45E0" w:rsidRPr="00232EBD" w:rsidRDefault="007D45E0" w:rsidP="00092F84">
      <w:pPr>
        <w:spacing w:line="276" w:lineRule="auto"/>
        <w:ind w:right="-96"/>
        <w:jc w:val="both"/>
        <w:rPr>
          <w:rFonts w:ascii="Arial" w:hAnsi="Arial" w:cs="Arial"/>
          <w:sz w:val="22"/>
          <w:szCs w:val="22"/>
        </w:rPr>
      </w:pPr>
    </w:p>
    <w:p w14:paraId="3FBF68D5" w14:textId="77777777" w:rsidR="000D1C06" w:rsidRPr="00232EBD" w:rsidRDefault="000D1C06" w:rsidP="00092F84">
      <w:pPr>
        <w:spacing w:line="276" w:lineRule="auto"/>
        <w:jc w:val="both"/>
        <w:rPr>
          <w:rFonts w:ascii="Arial" w:hAnsi="Arial" w:cs="Arial"/>
          <w:b/>
          <w:sz w:val="22"/>
          <w:szCs w:val="22"/>
        </w:rPr>
      </w:pPr>
      <w:r w:rsidRPr="00232EBD">
        <w:rPr>
          <w:rFonts w:ascii="Arial" w:hAnsi="Arial" w:cs="Arial"/>
          <w:b/>
          <w:sz w:val="22"/>
          <w:szCs w:val="22"/>
        </w:rPr>
        <w:t>Small Amount Credit Contract and Consumer Lease Reforms</w:t>
      </w:r>
    </w:p>
    <w:p w14:paraId="69811C4F" w14:textId="1B5EEE7C" w:rsidR="00312829" w:rsidRPr="00232EBD" w:rsidRDefault="00312829" w:rsidP="00092F84">
      <w:pPr>
        <w:spacing w:line="276" w:lineRule="auto"/>
        <w:ind w:right="-96"/>
        <w:jc w:val="both"/>
        <w:rPr>
          <w:rFonts w:ascii="Arial" w:hAnsi="Arial" w:cs="Arial"/>
          <w:sz w:val="22"/>
          <w:szCs w:val="22"/>
        </w:rPr>
      </w:pPr>
    </w:p>
    <w:p w14:paraId="46A12C68" w14:textId="6C210D53" w:rsidR="00E67877" w:rsidRPr="00232EBD" w:rsidRDefault="00E67877" w:rsidP="00092F84">
      <w:pPr>
        <w:spacing w:line="276" w:lineRule="auto"/>
        <w:contextualSpacing/>
        <w:jc w:val="both"/>
        <w:rPr>
          <w:rFonts w:ascii="Arial" w:hAnsi="Arial" w:cs="Arial"/>
          <w:sz w:val="22"/>
          <w:szCs w:val="22"/>
        </w:rPr>
      </w:pPr>
      <w:r w:rsidRPr="00232EBD">
        <w:rPr>
          <w:rFonts w:ascii="Arial" w:hAnsi="Arial" w:cs="Arial"/>
          <w:sz w:val="22"/>
          <w:szCs w:val="22"/>
        </w:rPr>
        <w:t>We write in relation to the Exposure Draft Bill (</w:t>
      </w:r>
      <w:r w:rsidRPr="00232EBD">
        <w:rPr>
          <w:rFonts w:ascii="Arial" w:hAnsi="Arial" w:cs="Arial"/>
          <w:b/>
          <w:sz w:val="22"/>
          <w:szCs w:val="22"/>
        </w:rPr>
        <w:t>the Bill</w:t>
      </w:r>
      <w:r w:rsidRPr="00232EBD">
        <w:rPr>
          <w:rFonts w:ascii="Arial" w:hAnsi="Arial" w:cs="Arial"/>
          <w:sz w:val="22"/>
          <w:szCs w:val="22"/>
        </w:rPr>
        <w:t>)</w:t>
      </w:r>
      <w:r w:rsidRPr="00232EBD">
        <w:rPr>
          <w:rStyle w:val="FootnoteReference"/>
          <w:rFonts w:ascii="Arial" w:hAnsi="Arial" w:cs="Arial"/>
          <w:sz w:val="22"/>
          <w:szCs w:val="22"/>
        </w:rPr>
        <w:footnoteReference w:id="2"/>
      </w:r>
      <w:r w:rsidRPr="00232EBD">
        <w:rPr>
          <w:rFonts w:ascii="Arial" w:hAnsi="Arial" w:cs="Arial"/>
          <w:sz w:val="22"/>
          <w:szCs w:val="22"/>
        </w:rPr>
        <w:t xml:space="preserve"> and Explanatory Materials implementing the Government’s response to the Small Amount Credit Contracts Review (</w:t>
      </w:r>
      <w:r w:rsidRPr="00232EBD">
        <w:rPr>
          <w:rFonts w:ascii="Arial" w:hAnsi="Arial" w:cs="Arial"/>
          <w:b/>
          <w:sz w:val="22"/>
          <w:szCs w:val="22"/>
        </w:rPr>
        <w:t>the</w:t>
      </w:r>
      <w:r w:rsidRPr="00232EBD">
        <w:rPr>
          <w:rFonts w:ascii="Arial" w:hAnsi="Arial" w:cs="Arial"/>
          <w:sz w:val="22"/>
          <w:szCs w:val="22"/>
        </w:rPr>
        <w:t xml:space="preserve"> </w:t>
      </w:r>
      <w:r w:rsidRPr="00232EBD">
        <w:rPr>
          <w:rFonts w:ascii="Arial" w:hAnsi="Arial" w:cs="Arial"/>
          <w:b/>
          <w:sz w:val="22"/>
          <w:szCs w:val="22"/>
        </w:rPr>
        <w:t>Review</w:t>
      </w:r>
      <w:r w:rsidRPr="00232EBD">
        <w:rPr>
          <w:rFonts w:ascii="Arial" w:hAnsi="Arial" w:cs="Arial"/>
          <w:sz w:val="22"/>
          <w:szCs w:val="22"/>
        </w:rPr>
        <w:t>).</w:t>
      </w:r>
    </w:p>
    <w:p w14:paraId="743C75F2" w14:textId="77777777" w:rsidR="00E67877" w:rsidRPr="00232EBD" w:rsidRDefault="00E67877" w:rsidP="00092F84">
      <w:pPr>
        <w:spacing w:line="276" w:lineRule="auto"/>
        <w:contextualSpacing/>
        <w:jc w:val="both"/>
        <w:rPr>
          <w:rFonts w:ascii="Arial" w:hAnsi="Arial" w:cs="Arial"/>
          <w:sz w:val="22"/>
          <w:szCs w:val="22"/>
        </w:rPr>
      </w:pPr>
    </w:p>
    <w:p w14:paraId="3FA6681F" w14:textId="480F6973" w:rsidR="00E67877" w:rsidRDefault="00E67877" w:rsidP="00092F84">
      <w:pPr>
        <w:spacing w:line="276" w:lineRule="auto"/>
        <w:contextualSpacing/>
        <w:jc w:val="both"/>
        <w:rPr>
          <w:rFonts w:ascii="Arial" w:hAnsi="Arial" w:cs="Arial"/>
          <w:sz w:val="22"/>
          <w:szCs w:val="22"/>
        </w:rPr>
      </w:pPr>
      <w:r w:rsidRPr="00232EBD">
        <w:rPr>
          <w:rFonts w:ascii="Arial" w:hAnsi="Arial" w:cs="Arial"/>
          <w:sz w:val="22"/>
          <w:szCs w:val="22"/>
        </w:rPr>
        <w:t xml:space="preserve">We strongly support the </w:t>
      </w:r>
      <w:r w:rsidR="007C32C6">
        <w:rPr>
          <w:rFonts w:ascii="Arial" w:hAnsi="Arial" w:cs="Arial"/>
          <w:sz w:val="22"/>
          <w:szCs w:val="22"/>
        </w:rPr>
        <w:t xml:space="preserve">proposed </w:t>
      </w:r>
      <w:r w:rsidRPr="00232EBD">
        <w:rPr>
          <w:rFonts w:ascii="Arial" w:hAnsi="Arial" w:cs="Arial"/>
          <w:sz w:val="22"/>
          <w:szCs w:val="22"/>
        </w:rPr>
        <w:t>reforms to small amount credit contracts (</w:t>
      </w:r>
      <w:r w:rsidRPr="00232EBD">
        <w:rPr>
          <w:rFonts w:ascii="Arial" w:hAnsi="Arial" w:cs="Arial"/>
          <w:b/>
          <w:sz w:val="22"/>
          <w:szCs w:val="22"/>
        </w:rPr>
        <w:t>SACCs</w:t>
      </w:r>
      <w:r w:rsidRPr="00232EBD">
        <w:rPr>
          <w:rFonts w:ascii="Arial" w:hAnsi="Arial" w:cs="Arial"/>
          <w:sz w:val="22"/>
          <w:szCs w:val="22"/>
        </w:rPr>
        <w:t xml:space="preserve">) and consumer leases. </w:t>
      </w:r>
      <w:r w:rsidR="00766000">
        <w:rPr>
          <w:rFonts w:ascii="Arial" w:hAnsi="Arial" w:cs="Arial"/>
          <w:sz w:val="22"/>
          <w:szCs w:val="22"/>
        </w:rPr>
        <w:t>Our organisations were</w:t>
      </w:r>
      <w:r w:rsidRPr="00232EBD">
        <w:rPr>
          <w:rFonts w:ascii="Arial" w:hAnsi="Arial" w:cs="Arial"/>
          <w:sz w:val="22"/>
          <w:szCs w:val="22"/>
        </w:rPr>
        <w:t xml:space="preserve"> actively involved in the consultation period of the </w:t>
      </w:r>
      <w:r w:rsidR="00DD56B1">
        <w:rPr>
          <w:rFonts w:ascii="Arial" w:hAnsi="Arial" w:cs="Arial"/>
          <w:sz w:val="22"/>
          <w:szCs w:val="22"/>
        </w:rPr>
        <w:t>Review</w:t>
      </w:r>
      <w:r w:rsidRPr="00232EBD">
        <w:rPr>
          <w:rFonts w:ascii="Arial" w:hAnsi="Arial" w:cs="Arial"/>
          <w:sz w:val="22"/>
          <w:szCs w:val="22"/>
        </w:rPr>
        <w:t xml:space="preserve">, and </w:t>
      </w:r>
      <w:r w:rsidR="00766000">
        <w:rPr>
          <w:rFonts w:ascii="Arial" w:hAnsi="Arial" w:cs="Arial"/>
          <w:sz w:val="22"/>
          <w:szCs w:val="22"/>
        </w:rPr>
        <w:t xml:space="preserve">some of </w:t>
      </w:r>
      <w:r w:rsidRPr="00232EBD">
        <w:rPr>
          <w:rFonts w:ascii="Arial" w:hAnsi="Arial" w:cs="Arial"/>
          <w:sz w:val="22"/>
          <w:szCs w:val="22"/>
        </w:rPr>
        <w:t>our submission</w:t>
      </w:r>
      <w:r w:rsidR="00766000">
        <w:rPr>
          <w:rFonts w:ascii="Arial" w:hAnsi="Arial" w:cs="Arial"/>
          <w:sz w:val="22"/>
          <w:szCs w:val="22"/>
        </w:rPr>
        <w:t>s</w:t>
      </w:r>
      <w:r w:rsidRPr="00232EBD">
        <w:rPr>
          <w:rFonts w:ascii="Arial" w:hAnsi="Arial" w:cs="Arial"/>
          <w:sz w:val="22"/>
          <w:szCs w:val="22"/>
        </w:rPr>
        <w:t xml:space="preserve"> </w:t>
      </w:r>
      <w:r w:rsidR="00766000">
        <w:rPr>
          <w:rFonts w:ascii="Arial" w:hAnsi="Arial" w:cs="Arial"/>
          <w:sz w:val="22"/>
          <w:szCs w:val="22"/>
        </w:rPr>
        <w:t>were</w:t>
      </w:r>
      <w:r w:rsidRPr="00232EBD">
        <w:rPr>
          <w:rFonts w:ascii="Arial" w:hAnsi="Arial" w:cs="Arial"/>
          <w:sz w:val="22"/>
          <w:szCs w:val="22"/>
        </w:rPr>
        <w:t xml:space="preserve"> noted in the Review Final Report. </w:t>
      </w:r>
      <w:r w:rsidR="00694F0A">
        <w:rPr>
          <w:rFonts w:ascii="Arial" w:hAnsi="Arial" w:cs="Arial"/>
          <w:sz w:val="22"/>
          <w:szCs w:val="22"/>
        </w:rPr>
        <w:t xml:space="preserve">We regard the proposed cap on costs for consumer leases, and the 10% protected earnings amount for consumer leases and payday loans as particularly critical reforms that would provide much needed protections for vulnerable borrowers. </w:t>
      </w:r>
      <w:r w:rsidR="001D48E4">
        <w:rPr>
          <w:rFonts w:ascii="Arial" w:hAnsi="Arial" w:cs="Arial"/>
          <w:sz w:val="22"/>
          <w:szCs w:val="22"/>
        </w:rPr>
        <w:t>We would strongly oppose more</w:t>
      </w:r>
      <w:r w:rsidR="00670E69">
        <w:rPr>
          <w:rFonts w:ascii="Arial" w:hAnsi="Arial" w:cs="Arial"/>
          <w:sz w:val="22"/>
          <w:szCs w:val="22"/>
        </w:rPr>
        <w:t xml:space="preserve"> lenient caps</w:t>
      </w:r>
      <w:r w:rsidR="001D48E4">
        <w:rPr>
          <w:rFonts w:ascii="Arial" w:hAnsi="Arial" w:cs="Arial"/>
          <w:sz w:val="22"/>
          <w:szCs w:val="22"/>
        </w:rPr>
        <w:t>, which</w:t>
      </w:r>
      <w:r w:rsidR="00670E69">
        <w:rPr>
          <w:rFonts w:ascii="Arial" w:hAnsi="Arial" w:cs="Arial"/>
          <w:sz w:val="22"/>
          <w:szCs w:val="22"/>
        </w:rPr>
        <w:t xml:space="preserve"> would entrench ongoing financial exclusion and fail to </w:t>
      </w:r>
      <w:r w:rsidR="00F90806">
        <w:rPr>
          <w:rFonts w:ascii="Arial" w:hAnsi="Arial" w:cs="Arial"/>
          <w:sz w:val="22"/>
          <w:szCs w:val="22"/>
        </w:rPr>
        <w:t>address the harm</w:t>
      </w:r>
      <w:r w:rsidR="00670E69">
        <w:rPr>
          <w:rFonts w:ascii="Arial" w:hAnsi="Arial" w:cs="Arial"/>
          <w:sz w:val="22"/>
          <w:szCs w:val="22"/>
        </w:rPr>
        <w:t xml:space="preserve"> caused by these products.</w:t>
      </w:r>
    </w:p>
    <w:p w14:paraId="53345EAF" w14:textId="677AD95A" w:rsidR="006C3609" w:rsidRDefault="006C3609" w:rsidP="00092F84">
      <w:pPr>
        <w:spacing w:line="276" w:lineRule="auto"/>
        <w:contextualSpacing/>
        <w:jc w:val="both"/>
        <w:rPr>
          <w:rFonts w:ascii="Arial" w:hAnsi="Arial" w:cs="Arial"/>
          <w:sz w:val="22"/>
          <w:szCs w:val="22"/>
        </w:rPr>
      </w:pPr>
    </w:p>
    <w:p w14:paraId="6EF13ABE" w14:textId="3A5E44B2" w:rsidR="006C3609" w:rsidRPr="00232EBD" w:rsidRDefault="006C3609" w:rsidP="00092F84">
      <w:pPr>
        <w:spacing w:line="276" w:lineRule="auto"/>
        <w:contextualSpacing/>
        <w:jc w:val="both"/>
        <w:rPr>
          <w:rFonts w:ascii="Arial" w:hAnsi="Arial" w:cs="Arial"/>
          <w:sz w:val="22"/>
          <w:szCs w:val="22"/>
        </w:rPr>
      </w:pPr>
      <w:r w:rsidRPr="00232EBD">
        <w:rPr>
          <w:rFonts w:ascii="Arial" w:hAnsi="Arial" w:cs="Arial"/>
          <w:sz w:val="22"/>
          <w:szCs w:val="22"/>
        </w:rPr>
        <w:lastRenderedPageBreak/>
        <w:t>Where this submission is silent on proposed reforms, we can be taken as being supportive. Our additional comments</w:t>
      </w:r>
      <w:r w:rsidR="00424684">
        <w:rPr>
          <w:rFonts w:ascii="Arial" w:hAnsi="Arial" w:cs="Arial"/>
          <w:sz w:val="22"/>
          <w:szCs w:val="22"/>
        </w:rPr>
        <w:t xml:space="preserve"> below</w:t>
      </w:r>
      <w:r w:rsidRPr="00232EBD">
        <w:rPr>
          <w:rFonts w:ascii="Arial" w:hAnsi="Arial" w:cs="Arial"/>
          <w:sz w:val="22"/>
          <w:szCs w:val="22"/>
        </w:rPr>
        <w:t xml:space="preserve"> relate </w:t>
      </w:r>
      <w:r w:rsidR="00DD56B1">
        <w:rPr>
          <w:rFonts w:ascii="Arial" w:hAnsi="Arial" w:cs="Arial"/>
          <w:sz w:val="22"/>
          <w:szCs w:val="22"/>
        </w:rPr>
        <w:t>largely</w:t>
      </w:r>
      <w:r w:rsidR="00424684">
        <w:rPr>
          <w:rFonts w:ascii="Arial" w:hAnsi="Arial" w:cs="Arial"/>
          <w:sz w:val="22"/>
          <w:szCs w:val="22"/>
        </w:rPr>
        <w:t xml:space="preserve"> </w:t>
      </w:r>
      <w:r w:rsidRPr="00232EBD">
        <w:rPr>
          <w:rFonts w:ascii="Arial" w:hAnsi="Arial" w:cs="Arial"/>
          <w:sz w:val="22"/>
          <w:szCs w:val="22"/>
        </w:rPr>
        <w:t>to technical amendments</w:t>
      </w:r>
      <w:r w:rsidR="00424684">
        <w:rPr>
          <w:rFonts w:ascii="Arial" w:hAnsi="Arial" w:cs="Arial"/>
          <w:sz w:val="22"/>
          <w:szCs w:val="22"/>
        </w:rPr>
        <w:t>.</w:t>
      </w:r>
      <w:r w:rsidR="00766000">
        <w:rPr>
          <w:rFonts w:ascii="Arial" w:hAnsi="Arial" w:cs="Arial"/>
          <w:sz w:val="22"/>
          <w:szCs w:val="22"/>
        </w:rPr>
        <w:t xml:space="preserve"> </w:t>
      </w:r>
    </w:p>
    <w:p w14:paraId="4DEC4B34" w14:textId="263CF00F" w:rsidR="00E67877" w:rsidRPr="00232EBD" w:rsidRDefault="0069513B" w:rsidP="00092F84">
      <w:pPr>
        <w:spacing w:line="276" w:lineRule="auto"/>
        <w:jc w:val="both"/>
        <w:rPr>
          <w:rFonts w:ascii="Arial" w:hAnsi="Arial" w:cs="Arial"/>
          <w:b/>
          <w:sz w:val="22"/>
          <w:szCs w:val="22"/>
        </w:rPr>
      </w:pPr>
      <w:r w:rsidRPr="00232EBD">
        <w:rPr>
          <w:rFonts w:ascii="Arial" w:hAnsi="Arial" w:cs="Arial"/>
          <w:b/>
          <w:sz w:val="22"/>
          <w:szCs w:val="22"/>
        </w:rPr>
        <w:t xml:space="preserve">The Government’s </w:t>
      </w:r>
      <w:r w:rsidR="00461C8E">
        <w:rPr>
          <w:rFonts w:ascii="Arial" w:hAnsi="Arial" w:cs="Arial"/>
          <w:b/>
          <w:sz w:val="22"/>
          <w:szCs w:val="22"/>
        </w:rPr>
        <w:t>r</w:t>
      </w:r>
      <w:r w:rsidR="00766000">
        <w:rPr>
          <w:rFonts w:ascii="Arial" w:hAnsi="Arial" w:cs="Arial"/>
          <w:b/>
          <w:sz w:val="22"/>
          <w:szCs w:val="22"/>
        </w:rPr>
        <w:t>esponse to the SACC Review</w:t>
      </w:r>
    </w:p>
    <w:p w14:paraId="2EC45557" w14:textId="4C514F29" w:rsidR="0069513B" w:rsidRPr="00232EBD" w:rsidRDefault="0069513B" w:rsidP="00092F84">
      <w:pPr>
        <w:spacing w:line="276" w:lineRule="auto"/>
        <w:jc w:val="both"/>
        <w:rPr>
          <w:rFonts w:ascii="Arial" w:hAnsi="Arial" w:cs="Arial"/>
          <w:sz w:val="22"/>
          <w:szCs w:val="22"/>
        </w:rPr>
      </w:pPr>
    </w:p>
    <w:p w14:paraId="79B04DCD" w14:textId="3D72B783" w:rsidR="0069513B" w:rsidRPr="00232EBD" w:rsidRDefault="0069513B" w:rsidP="00092F84">
      <w:pPr>
        <w:spacing w:line="276" w:lineRule="auto"/>
        <w:contextualSpacing/>
        <w:jc w:val="both"/>
        <w:rPr>
          <w:rFonts w:ascii="Arial" w:hAnsi="Arial" w:cs="Arial"/>
          <w:sz w:val="22"/>
          <w:szCs w:val="22"/>
        </w:rPr>
      </w:pPr>
      <w:r w:rsidRPr="00232EBD">
        <w:rPr>
          <w:rFonts w:ascii="Arial" w:hAnsi="Arial" w:cs="Arial"/>
          <w:sz w:val="22"/>
          <w:szCs w:val="22"/>
        </w:rPr>
        <w:t xml:space="preserve">Following a comprehensive consultation period, the Review Panel made twenty-four recommendations </w:t>
      </w:r>
      <w:r w:rsidR="00433C26">
        <w:rPr>
          <w:rFonts w:ascii="Arial" w:hAnsi="Arial" w:cs="Arial"/>
          <w:sz w:val="22"/>
          <w:szCs w:val="22"/>
        </w:rPr>
        <w:t>that</w:t>
      </w:r>
      <w:r w:rsidRPr="00232EBD">
        <w:rPr>
          <w:rFonts w:ascii="Arial" w:hAnsi="Arial" w:cs="Arial"/>
          <w:sz w:val="22"/>
          <w:szCs w:val="22"/>
        </w:rPr>
        <w:t xml:space="preserve"> </w:t>
      </w:r>
      <w:r w:rsidR="00424684">
        <w:rPr>
          <w:rFonts w:ascii="Arial" w:hAnsi="Arial" w:cs="Arial"/>
          <w:sz w:val="22"/>
          <w:szCs w:val="22"/>
        </w:rPr>
        <w:t>would</w:t>
      </w:r>
      <w:r w:rsidRPr="00232EBD">
        <w:rPr>
          <w:rFonts w:ascii="Arial" w:hAnsi="Arial" w:cs="Arial"/>
          <w:sz w:val="22"/>
          <w:szCs w:val="22"/>
        </w:rPr>
        <w:t xml:space="preserve"> provide significant additional protection</w:t>
      </w:r>
      <w:r w:rsidR="00424684">
        <w:rPr>
          <w:rFonts w:ascii="Arial" w:hAnsi="Arial" w:cs="Arial"/>
          <w:sz w:val="22"/>
          <w:szCs w:val="22"/>
        </w:rPr>
        <w:t>s</w:t>
      </w:r>
      <w:r w:rsidRPr="00232EBD">
        <w:rPr>
          <w:rFonts w:ascii="Arial" w:hAnsi="Arial" w:cs="Arial"/>
          <w:sz w:val="22"/>
          <w:szCs w:val="22"/>
        </w:rPr>
        <w:t xml:space="preserve"> for vulnerable consumers, and reduce the harm caused by SACCs and consumer leases. The Government accepted </w:t>
      </w:r>
      <w:r w:rsidR="007E2828" w:rsidRPr="00232EBD">
        <w:rPr>
          <w:rFonts w:ascii="Arial" w:hAnsi="Arial" w:cs="Arial"/>
          <w:sz w:val="22"/>
          <w:szCs w:val="22"/>
        </w:rPr>
        <w:t>most of</w:t>
      </w:r>
      <w:r w:rsidRPr="00232EBD">
        <w:rPr>
          <w:rFonts w:ascii="Arial" w:hAnsi="Arial" w:cs="Arial"/>
          <w:sz w:val="22"/>
          <w:szCs w:val="22"/>
        </w:rPr>
        <w:t xml:space="preserve"> these </w:t>
      </w:r>
      <w:r w:rsidR="00DD56B1">
        <w:rPr>
          <w:rFonts w:ascii="Arial" w:hAnsi="Arial" w:cs="Arial"/>
          <w:sz w:val="22"/>
          <w:szCs w:val="22"/>
        </w:rPr>
        <w:t>recommendations</w:t>
      </w:r>
      <w:r w:rsidR="00433C26">
        <w:rPr>
          <w:rFonts w:ascii="Arial" w:hAnsi="Arial" w:cs="Arial"/>
          <w:sz w:val="22"/>
          <w:szCs w:val="22"/>
        </w:rPr>
        <w:t xml:space="preserve"> in November 2016</w:t>
      </w:r>
      <w:r w:rsidR="00424684">
        <w:rPr>
          <w:rFonts w:ascii="Arial" w:hAnsi="Arial" w:cs="Arial"/>
          <w:sz w:val="22"/>
          <w:szCs w:val="22"/>
        </w:rPr>
        <w:t>.</w:t>
      </w:r>
      <w:r w:rsidR="007E2828" w:rsidRPr="00232EBD">
        <w:rPr>
          <w:rFonts w:ascii="Arial" w:hAnsi="Arial" w:cs="Arial"/>
          <w:sz w:val="22"/>
          <w:szCs w:val="22"/>
        </w:rPr>
        <w:t xml:space="preserve"> </w:t>
      </w:r>
    </w:p>
    <w:p w14:paraId="1FFFEB31" w14:textId="6AC218DB" w:rsidR="0069513B" w:rsidRPr="00232EBD" w:rsidRDefault="0069513B" w:rsidP="00092F84">
      <w:pPr>
        <w:spacing w:line="276" w:lineRule="auto"/>
        <w:contextualSpacing/>
        <w:jc w:val="both"/>
        <w:rPr>
          <w:rFonts w:ascii="Arial" w:hAnsi="Arial" w:cs="Arial"/>
          <w:sz w:val="22"/>
          <w:szCs w:val="22"/>
        </w:rPr>
      </w:pPr>
    </w:p>
    <w:p w14:paraId="4B3BA99B" w14:textId="1CA48898" w:rsidR="002F7874" w:rsidRPr="006C3609" w:rsidRDefault="0069513B" w:rsidP="00092F84">
      <w:pPr>
        <w:spacing w:line="276" w:lineRule="auto"/>
        <w:jc w:val="both"/>
        <w:rPr>
          <w:rFonts w:ascii="Arial" w:hAnsi="Arial" w:cs="Arial"/>
          <w:sz w:val="22"/>
          <w:szCs w:val="22"/>
        </w:rPr>
      </w:pPr>
      <w:r w:rsidRPr="00232EBD">
        <w:rPr>
          <w:rFonts w:ascii="Arial" w:hAnsi="Arial" w:cs="Arial"/>
          <w:sz w:val="22"/>
          <w:szCs w:val="22"/>
        </w:rPr>
        <w:t>The recommendations</w:t>
      </w:r>
      <w:r w:rsidR="00433C26">
        <w:rPr>
          <w:rFonts w:ascii="Arial" w:hAnsi="Arial" w:cs="Arial"/>
          <w:sz w:val="22"/>
          <w:szCs w:val="22"/>
        </w:rPr>
        <w:t>, and the Government’s subsequent response,</w:t>
      </w:r>
      <w:r w:rsidR="007E2828" w:rsidRPr="00232EBD">
        <w:rPr>
          <w:rFonts w:ascii="Arial" w:hAnsi="Arial" w:cs="Arial"/>
          <w:sz w:val="22"/>
          <w:szCs w:val="22"/>
        </w:rPr>
        <w:t xml:space="preserve"> were made following thorough consultation with </w:t>
      </w:r>
      <w:r w:rsidR="00424684">
        <w:rPr>
          <w:rFonts w:ascii="Arial" w:hAnsi="Arial" w:cs="Arial"/>
          <w:sz w:val="22"/>
          <w:szCs w:val="22"/>
        </w:rPr>
        <w:t>the</w:t>
      </w:r>
      <w:r w:rsidR="007E2828" w:rsidRPr="00232EBD">
        <w:rPr>
          <w:rFonts w:ascii="Arial" w:hAnsi="Arial" w:cs="Arial"/>
          <w:sz w:val="22"/>
          <w:szCs w:val="22"/>
        </w:rPr>
        <w:t xml:space="preserve"> industry and the community sector, having regard to significant data and academic research. </w:t>
      </w:r>
      <w:r w:rsidR="002F7874" w:rsidRPr="00232EBD">
        <w:rPr>
          <w:rFonts w:ascii="Arial" w:hAnsi="Arial" w:cs="Arial"/>
          <w:sz w:val="22"/>
          <w:szCs w:val="22"/>
        </w:rPr>
        <w:t xml:space="preserve">The Government has taken a sensible approach to balancing the interests of </w:t>
      </w:r>
      <w:r w:rsidR="00EA62D0">
        <w:rPr>
          <w:rFonts w:ascii="Arial" w:hAnsi="Arial" w:cs="Arial"/>
          <w:sz w:val="22"/>
          <w:szCs w:val="22"/>
        </w:rPr>
        <w:t>all parties</w:t>
      </w:r>
      <w:r w:rsidR="002F7874" w:rsidRPr="00232EBD">
        <w:rPr>
          <w:rFonts w:ascii="Arial" w:hAnsi="Arial" w:cs="Arial"/>
          <w:sz w:val="22"/>
          <w:szCs w:val="22"/>
        </w:rPr>
        <w:t xml:space="preserve">, </w:t>
      </w:r>
      <w:r w:rsidR="00EA62D0">
        <w:rPr>
          <w:rFonts w:ascii="Arial" w:hAnsi="Arial" w:cs="Arial"/>
          <w:sz w:val="22"/>
          <w:szCs w:val="22"/>
        </w:rPr>
        <w:t>considering</w:t>
      </w:r>
      <w:r w:rsidR="00EA62D0" w:rsidRPr="00232EBD">
        <w:rPr>
          <w:rFonts w:ascii="Arial" w:hAnsi="Arial" w:cs="Arial"/>
          <w:sz w:val="22"/>
          <w:szCs w:val="22"/>
        </w:rPr>
        <w:t xml:space="preserve"> </w:t>
      </w:r>
      <w:r w:rsidR="002F7874" w:rsidRPr="00232EBD">
        <w:rPr>
          <w:rFonts w:ascii="Arial" w:hAnsi="Arial" w:cs="Arial"/>
          <w:sz w:val="22"/>
          <w:szCs w:val="22"/>
        </w:rPr>
        <w:t xml:space="preserve">the need to protect vulnerable people and promote financial inclusion. </w:t>
      </w:r>
      <w:r w:rsidR="00424684">
        <w:rPr>
          <w:rFonts w:ascii="Arial" w:hAnsi="Arial" w:cs="Arial"/>
          <w:sz w:val="22"/>
          <w:szCs w:val="22"/>
        </w:rPr>
        <w:t>As noted by</w:t>
      </w:r>
      <w:r w:rsidR="00424684" w:rsidRPr="006C3609">
        <w:rPr>
          <w:rFonts w:ascii="Arial" w:hAnsi="Arial" w:cs="Arial"/>
          <w:sz w:val="22"/>
          <w:szCs w:val="22"/>
        </w:rPr>
        <w:t xml:space="preserve"> the Review Panel</w:t>
      </w:r>
      <w:r w:rsidR="00424684">
        <w:rPr>
          <w:rFonts w:ascii="Arial" w:hAnsi="Arial" w:cs="Arial"/>
          <w:sz w:val="22"/>
          <w:szCs w:val="22"/>
        </w:rPr>
        <w:t xml:space="preserve">, </w:t>
      </w:r>
      <w:r w:rsidR="00424684" w:rsidRPr="006C3609">
        <w:rPr>
          <w:rFonts w:ascii="Arial" w:hAnsi="Arial" w:cs="Arial"/>
          <w:sz w:val="22"/>
          <w:szCs w:val="22"/>
        </w:rPr>
        <w:t>access to finance</w:t>
      </w:r>
      <w:r w:rsidR="00424684">
        <w:rPr>
          <w:rFonts w:ascii="Arial" w:hAnsi="Arial" w:cs="Arial"/>
          <w:sz w:val="22"/>
          <w:szCs w:val="22"/>
        </w:rPr>
        <w:t xml:space="preserve"> irrespective of the cost does not necessarily mean</w:t>
      </w:r>
      <w:r w:rsidR="00424684" w:rsidRPr="006C3609">
        <w:rPr>
          <w:rFonts w:ascii="Arial" w:hAnsi="Arial" w:cs="Arial"/>
          <w:sz w:val="22"/>
          <w:szCs w:val="22"/>
        </w:rPr>
        <w:t xml:space="preserve"> that a consumer is financially included.</w:t>
      </w:r>
      <w:r w:rsidR="00424684" w:rsidRPr="006C3609">
        <w:rPr>
          <w:rStyle w:val="FootnoteReference"/>
          <w:rFonts w:ascii="Arial" w:hAnsi="Arial" w:cs="Arial"/>
          <w:sz w:val="22"/>
          <w:szCs w:val="22"/>
        </w:rPr>
        <w:footnoteReference w:id="3"/>
      </w:r>
      <w:r w:rsidR="00424684" w:rsidRPr="006C3609">
        <w:rPr>
          <w:rFonts w:ascii="Arial" w:hAnsi="Arial" w:cs="Arial"/>
          <w:sz w:val="22"/>
          <w:szCs w:val="22"/>
        </w:rPr>
        <w:t xml:space="preserve"> </w:t>
      </w:r>
    </w:p>
    <w:p w14:paraId="6F63233B" w14:textId="5756B283" w:rsidR="006C3609" w:rsidRDefault="006C3609" w:rsidP="00092F84">
      <w:pPr>
        <w:spacing w:line="276" w:lineRule="auto"/>
        <w:jc w:val="both"/>
        <w:rPr>
          <w:rFonts w:ascii="Arial" w:hAnsi="Arial" w:cs="Arial"/>
          <w:sz w:val="22"/>
          <w:szCs w:val="22"/>
        </w:rPr>
      </w:pPr>
    </w:p>
    <w:p w14:paraId="551034C5" w14:textId="746141E5" w:rsidR="00766000" w:rsidRPr="00232EBD" w:rsidRDefault="00424684" w:rsidP="00092F84">
      <w:pPr>
        <w:spacing w:line="276" w:lineRule="auto"/>
        <w:jc w:val="both"/>
        <w:rPr>
          <w:rFonts w:ascii="Arial" w:hAnsi="Arial" w:cs="Arial"/>
          <w:b/>
          <w:sz w:val="22"/>
          <w:szCs w:val="22"/>
        </w:rPr>
      </w:pPr>
      <w:r>
        <w:rPr>
          <w:rFonts w:ascii="Arial" w:hAnsi="Arial" w:cs="Arial"/>
          <w:b/>
          <w:sz w:val="22"/>
          <w:szCs w:val="22"/>
        </w:rPr>
        <w:t>Data released following</w:t>
      </w:r>
      <w:r w:rsidR="00C4011B">
        <w:rPr>
          <w:rFonts w:ascii="Arial" w:hAnsi="Arial" w:cs="Arial"/>
          <w:b/>
          <w:sz w:val="22"/>
          <w:szCs w:val="22"/>
        </w:rPr>
        <w:t xml:space="preserve"> the Government’s response</w:t>
      </w:r>
    </w:p>
    <w:p w14:paraId="340B27D4" w14:textId="77777777" w:rsidR="00766000" w:rsidRPr="006C3609" w:rsidRDefault="00766000" w:rsidP="00092F84">
      <w:pPr>
        <w:spacing w:line="276" w:lineRule="auto"/>
        <w:jc w:val="both"/>
        <w:rPr>
          <w:rFonts w:ascii="Arial" w:hAnsi="Arial" w:cs="Arial"/>
          <w:sz w:val="22"/>
          <w:szCs w:val="22"/>
        </w:rPr>
      </w:pPr>
    </w:p>
    <w:p w14:paraId="6A972A20" w14:textId="6BED0300" w:rsidR="00243733" w:rsidRPr="006C3609" w:rsidRDefault="00243733" w:rsidP="00092F84">
      <w:pPr>
        <w:spacing w:line="276" w:lineRule="auto"/>
        <w:jc w:val="both"/>
        <w:rPr>
          <w:rFonts w:ascii="Arial" w:hAnsi="Arial" w:cs="Arial"/>
          <w:sz w:val="22"/>
          <w:szCs w:val="22"/>
        </w:rPr>
      </w:pPr>
      <w:r w:rsidRPr="006C3609">
        <w:rPr>
          <w:rFonts w:ascii="Arial" w:hAnsi="Arial" w:cs="Arial"/>
          <w:sz w:val="22"/>
          <w:szCs w:val="22"/>
        </w:rPr>
        <w:t xml:space="preserve">Since the Government’s response, we have continued to see payday </w:t>
      </w:r>
      <w:r w:rsidR="006C3609" w:rsidRPr="006C3609">
        <w:rPr>
          <w:rFonts w:ascii="Arial" w:hAnsi="Arial" w:cs="Arial"/>
          <w:sz w:val="22"/>
          <w:szCs w:val="22"/>
        </w:rPr>
        <w:t>lenders</w:t>
      </w:r>
      <w:r w:rsidRPr="006C3609">
        <w:rPr>
          <w:rFonts w:ascii="Arial" w:hAnsi="Arial" w:cs="Arial"/>
          <w:sz w:val="22"/>
          <w:szCs w:val="22"/>
        </w:rPr>
        <w:t xml:space="preserve"> and consumer lease</w:t>
      </w:r>
      <w:r w:rsidR="006C3609" w:rsidRPr="006C3609">
        <w:rPr>
          <w:rFonts w:ascii="Arial" w:hAnsi="Arial" w:cs="Arial"/>
          <w:sz w:val="22"/>
          <w:szCs w:val="22"/>
        </w:rPr>
        <w:t xml:space="preserve"> providers</w:t>
      </w:r>
      <w:r w:rsidRPr="006C3609">
        <w:rPr>
          <w:rFonts w:ascii="Arial" w:hAnsi="Arial" w:cs="Arial"/>
          <w:sz w:val="22"/>
          <w:szCs w:val="22"/>
        </w:rPr>
        <w:t xml:space="preserve"> causing harm to vulnerable people, and </w:t>
      </w:r>
      <w:r w:rsidR="006C3609" w:rsidRPr="006C3609">
        <w:rPr>
          <w:rFonts w:ascii="Arial" w:hAnsi="Arial" w:cs="Arial"/>
          <w:sz w:val="22"/>
          <w:szCs w:val="22"/>
        </w:rPr>
        <w:t>flouting the law</w:t>
      </w:r>
      <w:r w:rsidRPr="006C3609">
        <w:rPr>
          <w:rFonts w:ascii="Arial" w:hAnsi="Arial" w:cs="Arial"/>
          <w:sz w:val="22"/>
          <w:szCs w:val="22"/>
        </w:rPr>
        <w:t xml:space="preserve">. </w:t>
      </w:r>
      <w:r w:rsidR="00424684">
        <w:rPr>
          <w:rFonts w:ascii="Arial" w:hAnsi="Arial" w:cs="Arial"/>
          <w:sz w:val="22"/>
          <w:szCs w:val="22"/>
        </w:rPr>
        <w:t>S</w:t>
      </w:r>
      <w:r w:rsidR="006C3609" w:rsidRPr="006C3609">
        <w:rPr>
          <w:rFonts w:ascii="Arial" w:hAnsi="Arial" w:cs="Arial"/>
          <w:sz w:val="22"/>
          <w:szCs w:val="22"/>
        </w:rPr>
        <w:t xml:space="preserve">ignificant </w:t>
      </w:r>
      <w:r w:rsidRPr="006C3609">
        <w:rPr>
          <w:rFonts w:ascii="Arial" w:hAnsi="Arial" w:cs="Arial"/>
          <w:sz w:val="22"/>
          <w:szCs w:val="22"/>
        </w:rPr>
        <w:t xml:space="preserve">ASIC </w:t>
      </w:r>
      <w:r w:rsidR="006C3609" w:rsidRPr="006C3609">
        <w:rPr>
          <w:rFonts w:ascii="Arial" w:hAnsi="Arial" w:cs="Arial"/>
          <w:sz w:val="22"/>
          <w:szCs w:val="22"/>
        </w:rPr>
        <w:t xml:space="preserve">enforcement </w:t>
      </w:r>
      <w:r w:rsidRPr="006C3609">
        <w:rPr>
          <w:rFonts w:ascii="Arial" w:hAnsi="Arial" w:cs="Arial"/>
          <w:sz w:val="22"/>
          <w:szCs w:val="22"/>
        </w:rPr>
        <w:t>action</w:t>
      </w:r>
      <w:r w:rsidR="00DD56B1">
        <w:rPr>
          <w:rFonts w:ascii="Arial" w:hAnsi="Arial" w:cs="Arial"/>
          <w:sz w:val="22"/>
          <w:szCs w:val="22"/>
        </w:rPr>
        <w:t>s</w:t>
      </w:r>
      <w:r w:rsidRPr="006C3609">
        <w:rPr>
          <w:rFonts w:ascii="Arial" w:hAnsi="Arial" w:cs="Arial"/>
          <w:sz w:val="22"/>
          <w:szCs w:val="22"/>
        </w:rPr>
        <w:t xml:space="preserve"> </w:t>
      </w:r>
      <w:r w:rsidR="00DD56B1">
        <w:rPr>
          <w:rFonts w:ascii="Arial" w:hAnsi="Arial" w:cs="Arial"/>
          <w:sz w:val="22"/>
          <w:szCs w:val="22"/>
        </w:rPr>
        <w:t>since the response include</w:t>
      </w:r>
      <w:r w:rsidRPr="006C3609">
        <w:rPr>
          <w:rFonts w:ascii="Arial" w:hAnsi="Arial" w:cs="Arial"/>
          <w:sz w:val="22"/>
          <w:szCs w:val="22"/>
        </w:rPr>
        <w:t>:</w:t>
      </w:r>
    </w:p>
    <w:p w14:paraId="2A636A6F" w14:textId="052B27E6" w:rsidR="00243733" w:rsidRPr="006C3609" w:rsidRDefault="00424684" w:rsidP="00092F84">
      <w:pPr>
        <w:pStyle w:val="ListParagraph"/>
        <w:numPr>
          <w:ilvl w:val="0"/>
          <w:numId w:val="26"/>
        </w:numPr>
        <w:spacing w:line="276" w:lineRule="auto"/>
        <w:jc w:val="both"/>
        <w:rPr>
          <w:rFonts w:ascii="Arial" w:hAnsi="Arial" w:cs="Arial"/>
          <w:i/>
          <w:sz w:val="22"/>
          <w:szCs w:val="22"/>
        </w:rPr>
      </w:pPr>
      <w:r>
        <w:rPr>
          <w:rFonts w:ascii="Arial" w:hAnsi="Arial" w:cs="Arial"/>
          <w:sz w:val="22"/>
          <w:szCs w:val="22"/>
        </w:rPr>
        <w:t xml:space="preserve">requiring </w:t>
      </w:r>
      <w:r w:rsidR="006C3609">
        <w:rPr>
          <w:rFonts w:ascii="Arial" w:hAnsi="Arial" w:cs="Arial"/>
          <w:sz w:val="22"/>
          <w:szCs w:val="22"/>
        </w:rPr>
        <w:t>c</w:t>
      </w:r>
      <w:r w:rsidR="00243733" w:rsidRPr="006C3609">
        <w:rPr>
          <w:rFonts w:ascii="Arial" w:hAnsi="Arial" w:cs="Arial"/>
          <w:sz w:val="22"/>
          <w:szCs w:val="22"/>
        </w:rPr>
        <w:t>onsumer lease provider The Rental Guys to refund more than $100,000 to vulnerable consumers;</w:t>
      </w:r>
      <w:r w:rsidR="006C3609" w:rsidRPr="006C3609">
        <w:rPr>
          <w:rStyle w:val="FootnoteReference"/>
          <w:rFonts w:ascii="Arial" w:hAnsi="Arial" w:cs="Arial"/>
          <w:sz w:val="22"/>
          <w:szCs w:val="22"/>
        </w:rPr>
        <w:footnoteReference w:id="4"/>
      </w:r>
    </w:p>
    <w:p w14:paraId="1FA31237" w14:textId="7D6DF63B" w:rsidR="00243733" w:rsidRPr="006C3609" w:rsidRDefault="00424684" w:rsidP="00092F84">
      <w:pPr>
        <w:pStyle w:val="ListParagraph"/>
        <w:numPr>
          <w:ilvl w:val="0"/>
          <w:numId w:val="26"/>
        </w:numPr>
        <w:spacing w:line="276" w:lineRule="auto"/>
        <w:jc w:val="both"/>
        <w:rPr>
          <w:rFonts w:ascii="Arial" w:hAnsi="Arial" w:cs="Arial"/>
          <w:i/>
          <w:sz w:val="22"/>
          <w:szCs w:val="22"/>
        </w:rPr>
      </w:pPr>
      <w:r>
        <w:rPr>
          <w:rFonts w:ascii="Arial" w:hAnsi="Arial" w:cs="Arial"/>
          <w:sz w:val="22"/>
          <w:szCs w:val="22"/>
        </w:rPr>
        <w:t xml:space="preserve">requiring </w:t>
      </w:r>
      <w:r w:rsidR="006C3609">
        <w:rPr>
          <w:rFonts w:ascii="Arial" w:hAnsi="Arial" w:cs="Arial"/>
          <w:sz w:val="22"/>
          <w:szCs w:val="22"/>
        </w:rPr>
        <w:t>c</w:t>
      </w:r>
      <w:r w:rsidR="00243733" w:rsidRPr="006C3609">
        <w:rPr>
          <w:rFonts w:ascii="Arial" w:hAnsi="Arial" w:cs="Arial"/>
          <w:sz w:val="22"/>
          <w:szCs w:val="22"/>
        </w:rPr>
        <w:t>onsumer lease provider Motor Finance Wizard to pay over $11 million in remediation over responsible lending concerns;</w:t>
      </w:r>
      <w:r w:rsidR="006C3609" w:rsidRPr="006C3609">
        <w:rPr>
          <w:rStyle w:val="FootnoteReference"/>
          <w:rFonts w:ascii="Arial" w:hAnsi="Arial" w:cs="Arial"/>
          <w:sz w:val="22"/>
          <w:szCs w:val="22"/>
        </w:rPr>
        <w:footnoteReference w:id="5"/>
      </w:r>
    </w:p>
    <w:p w14:paraId="5C5356E8" w14:textId="553A34BD" w:rsidR="00243733" w:rsidRPr="00CD45E2" w:rsidRDefault="00424684" w:rsidP="00092F84">
      <w:pPr>
        <w:pStyle w:val="ListParagraph"/>
        <w:numPr>
          <w:ilvl w:val="0"/>
          <w:numId w:val="26"/>
        </w:numPr>
        <w:spacing w:line="276" w:lineRule="auto"/>
        <w:jc w:val="both"/>
        <w:rPr>
          <w:rFonts w:ascii="Arial" w:hAnsi="Arial" w:cs="Arial"/>
          <w:i/>
          <w:sz w:val="22"/>
          <w:szCs w:val="22"/>
        </w:rPr>
      </w:pPr>
      <w:r>
        <w:rPr>
          <w:rFonts w:ascii="Arial" w:hAnsi="Arial" w:cs="Arial"/>
          <w:sz w:val="22"/>
          <w:szCs w:val="22"/>
        </w:rPr>
        <w:t xml:space="preserve">requiring </w:t>
      </w:r>
      <w:r w:rsidR="006C3609">
        <w:rPr>
          <w:rFonts w:ascii="Arial" w:hAnsi="Arial" w:cs="Arial"/>
          <w:sz w:val="22"/>
          <w:szCs w:val="22"/>
        </w:rPr>
        <w:t>p</w:t>
      </w:r>
      <w:r w:rsidR="00243733" w:rsidRPr="006C3609">
        <w:rPr>
          <w:rFonts w:ascii="Arial" w:hAnsi="Arial" w:cs="Arial"/>
          <w:sz w:val="22"/>
          <w:szCs w:val="22"/>
        </w:rPr>
        <w:t xml:space="preserve">ayday lenders Good to Go Loans Pty Ltd and Web Moneyline Pty Ltd to write </w:t>
      </w:r>
      <w:r w:rsidR="00243733" w:rsidRPr="00CD45E2">
        <w:rPr>
          <w:rFonts w:ascii="Arial" w:hAnsi="Arial" w:cs="Arial"/>
          <w:sz w:val="22"/>
          <w:szCs w:val="22"/>
        </w:rPr>
        <w:t>off and stop offering loans intended to avoid payday lending regulation;</w:t>
      </w:r>
      <w:r w:rsidR="006C3609" w:rsidRPr="00CD45E2">
        <w:rPr>
          <w:rStyle w:val="FootnoteReference"/>
          <w:rFonts w:ascii="Arial" w:hAnsi="Arial" w:cs="Arial"/>
          <w:sz w:val="22"/>
          <w:szCs w:val="22"/>
        </w:rPr>
        <w:footnoteReference w:id="6"/>
      </w:r>
    </w:p>
    <w:p w14:paraId="4213288A" w14:textId="4E5A8EBE" w:rsidR="00243733" w:rsidRPr="00CD45E2" w:rsidRDefault="006C3609" w:rsidP="00092F84">
      <w:pPr>
        <w:pStyle w:val="ListParagraph"/>
        <w:numPr>
          <w:ilvl w:val="0"/>
          <w:numId w:val="26"/>
        </w:numPr>
        <w:spacing w:line="276" w:lineRule="auto"/>
        <w:jc w:val="both"/>
        <w:rPr>
          <w:rFonts w:ascii="Arial" w:hAnsi="Arial" w:cs="Arial"/>
          <w:i/>
          <w:sz w:val="22"/>
          <w:szCs w:val="22"/>
        </w:rPr>
      </w:pPr>
      <w:r w:rsidRPr="00CD45E2">
        <w:rPr>
          <w:rFonts w:ascii="Arial" w:hAnsi="Arial" w:cs="Arial"/>
          <w:sz w:val="22"/>
          <w:szCs w:val="22"/>
        </w:rPr>
        <w:t>b</w:t>
      </w:r>
      <w:r w:rsidR="00243733" w:rsidRPr="00CD45E2">
        <w:rPr>
          <w:rFonts w:ascii="Arial" w:hAnsi="Arial" w:cs="Arial"/>
          <w:sz w:val="22"/>
          <w:szCs w:val="22"/>
        </w:rPr>
        <w:t>anning the director of an unlicensed payday lender for three years;</w:t>
      </w:r>
      <w:r w:rsidRPr="00CD45E2">
        <w:rPr>
          <w:rStyle w:val="FootnoteReference"/>
          <w:rFonts w:ascii="Arial" w:hAnsi="Arial" w:cs="Arial"/>
          <w:sz w:val="22"/>
          <w:szCs w:val="22"/>
        </w:rPr>
        <w:footnoteReference w:id="7"/>
      </w:r>
    </w:p>
    <w:p w14:paraId="61CF8E63" w14:textId="5EBE1E62" w:rsidR="00243733" w:rsidRPr="00CD45E2" w:rsidRDefault="00424684" w:rsidP="00092F84">
      <w:pPr>
        <w:pStyle w:val="ListParagraph"/>
        <w:numPr>
          <w:ilvl w:val="0"/>
          <w:numId w:val="26"/>
        </w:numPr>
        <w:spacing w:line="276" w:lineRule="auto"/>
        <w:jc w:val="both"/>
        <w:rPr>
          <w:rFonts w:ascii="Arial" w:hAnsi="Arial" w:cs="Arial"/>
          <w:i/>
          <w:sz w:val="22"/>
          <w:szCs w:val="22"/>
        </w:rPr>
      </w:pPr>
      <w:r>
        <w:rPr>
          <w:rFonts w:ascii="Arial" w:hAnsi="Arial" w:cs="Arial"/>
          <w:sz w:val="22"/>
          <w:szCs w:val="22"/>
        </w:rPr>
        <w:t xml:space="preserve">obtaining a $730,000 fine against </w:t>
      </w:r>
      <w:r w:rsidR="006C3609" w:rsidRPr="00CD45E2">
        <w:rPr>
          <w:rFonts w:ascii="Arial" w:hAnsi="Arial" w:cs="Arial"/>
          <w:sz w:val="22"/>
          <w:szCs w:val="22"/>
        </w:rPr>
        <w:t>p</w:t>
      </w:r>
      <w:r w:rsidR="00243733" w:rsidRPr="00CD45E2">
        <w:rPr>
          <w:rFonts w:ascii="Arial" w:hAnsi="Arial" w:cs="Arial"/>
          <w:sz w:val="22"/>
          <w:szCs w:val="22"/>
        </w:rPr>
        <w:t xml:space="preserve">ayday lenders for </w:t>
      </w:r>
      <w:r w:rsidR="00DD56B1">
        <w:rPr>
          <w:rFonts w:ascii="Arial" w:hAnsi="Arial" w:cs="Arial"/>
          <w:sz w:val="22"/>
          <w:szCs w:val="22"/>
        </w:rPr>
        <w:t xml:space="preserve">a </w:t>
      </w:r>
      <w:r w:rsidR="00243733" w:rsidRPr="00CD45E2">
        <w:rPr>
          <w:rFonts w:ascii="Arial" w:hAnsi="Arial" w:cs="Arial"/>
          <w:sz w:val="22"/>
          <w:szCs w:val="22"/>
        </w:rPr>
        <w:t>diamond trading avoidance ‘sham’;</w:t>
      </w:r>
      <w:r w:rsidR="006C3609" w:rsidRPr="00CD45E2">
        <w:rPr>
          <w:rStyle w:val="FootnoteReference"/>
          <w:rFonts w:ascii="Arial" w:hAnsi="Arial" w:cs="Arial"/>
          <w:sz w:val="22"/>
          <w:szCs w:val="22"/>
        </w:rPr>
        <w:footnoteReference w:id="8"/>
      </w:r>
      <w:r w:rsidR="006C3609" w:rsidRPr="00CD45E2">
        <w:rPr>
          <w:rFonts w:ascii="Arial" w:hAnsi="Arial" w:cs="Arial"/>
          <w:sz w:val="22"/>
          <w:szCs w:val="22"/>
        </w:rPr>
        <w:t xml:space="preserve"> and</w:t>
      </w:r>
    </w:p>
    <w:p w14:paraId="7D07E9C4" w14:textId="1EF3E172" w:rsidR="00243733" w:rsidRPr="00CD45E2" w:rsidRDefault="006C3609" w:rsidP="00092F84">
      <w:pPr>
        <w:pStyle w:val="ListParagraph"/>
        <w:numPr>
          <w:ilvl w:val="0"/>
          <w:numId w:val="26"/>
        </w:numPr>
        <w:spacing w:line="276" w:lineRule="auto"/>
        <w:jc w:val="both"/>
        <w:rPr>
          <w:rFonts w:ascii="Arial" w:hAnsi="Arial" w:cs="Arial"/>
          <w:i/>
          <w:sz w:val="22"/>
          <w:szCs w:val="22"/>
        </w:rPr>
      </w:pPr>
      <w:r w:rsidRPr="00CD45E2">
        <w:rPr>
          <w:rFonts w:ascii="Arial" w:hAnsi="Arial" w:cs="Arial"/>
          <w:sz w:val="22"/>
          <w:szCs w:val="22"/>
        </w:rPr>
        <w:t>c</w:t>
      </w:r>
      <w:r w:rsidR="00243733" w:rsidRPr="00CD45E2">
        <w:rPr>
          <w:rFonts w:ascii="Arial" w:hAnsi="Arial" w:cs="Arial"/>
          <w:sz w:val="22"/>
          <w:szCs w:val="22"/>
        </w:rPr>
        <w:t>ancelling the credit licence of consumer lease provider Rent to Own</w:t>
      </w:r>
      <w:r w:rsidRPr="00CD45E2">
        <w:rPr>
          <w:rFonts w:ascii="Arial" w:hAnsi="Arial" w:cs="Arial"/>
          <w:sz w:val="22"/>
          <w:szCs w:val="22"/>
        </w:rPr>
        <w:t xml:space="preserve"> Appliances.</w:t>
      </w:r>
      <w:r w:rsidRPr="00CD45E2">
        <w:rPr>
          <w:rStyle w:val="FootnoteReference"/>
          <w:rFonts w:ascii="Arial" w:hAnsi="Arial" w:cs="Arial"/>
          <w:sz w:val="22"/>
          <w:szCs w:val="22"/>
        </w:rPr>
        <w:footnoteReference w:id="9"/>
      </w:r>
    </w:p>
    <w:p w14:paraId="7A13838D" w14:textId="0F48F619" w:rsidR="006C3609" w:rsidRPr="00CD45E2" w:rsidRDefault="006C3609" w:rsidP="00092F84">
      <w:pPr>
        <w:spacing w:line="276" w:lineRule="auto"/>
        <w:jc w:val="both"/>
        <w:rPr>
          <w:rFonts w:ascii="Arial" w:hAnsi="Arial" w:cs="Arial"/>
          <w:i/>
          <w:sz w:val="22"/>
          <w:szCs w:val="22"/>
        </w:rPr>
      </w:pPr>
    </w:p>
    <w:p w14:paraId="24811C33" w14:textId="26CBFF9E" w:rsidR="006C3609" w:rsidRPr="00CD45E2" w:rsidRDefault="006C3609" w:rsidP="2156E3F7">
      <w:pPr>
        <w:pStyle w:val="NormalWeb"/>
        <w:spacing w:before="0" w:beforeAutospacing="0" w:after="0" w:afterAutospacing="0" w:line="276" w:lineRule="auto"/>
        <w:jc w:val="both"/>
        <w:rPr>
          <w:rFonts w:ascii="Arial" w:hAnsi="Arial" w:cs="Arial"/>
        </w:rPr>
      </w:pPr>
      <w:r w:rsidRPr="00CD45E2">
        <w:rPr>
          <w:rFonts w:ascii="Arial" w:hAnsi="Arial" w:cs="Arial"/>
          <w:sz w:val="22"/>
          <w:szCs w:val="22"/>
        </w:rPr>
        <w:t>The Credit and Investments Ombudsman (</w:t>
      </w:r>
      <w:r w:rsidRPr="2156E3F7">
        <w:rPr>
          <w:rFonts w:ascii="Arial" w:hAnsi="Arial" w:cs="Arial"/>
          <w:b/>
          <w:bCs/>
          <w:sz w:val="22"/>
          <w:szCs w:val="22"/>
        </w:rPr>
        <w:t>CIO</w:t>
      </w:r>
      <w:r w:rsidRPr="00CD45E2">
        <w:rPr>
          <w:rFonts w:ascii="Arial" w:hAnsi="Arial" w:cs="Arial"/>
          <w:sz w:val="22"/>
          <w:szCs w:val="22"/>
        </w:rPr>
        <w:t xml:space="preserve">) has also released data suggesting systemic problems in the consumer lease and payday loan </w:t>
      </w:r>
      <w:r w:rsidR="00424684">
        <w:rPr>
          <w:rFonts w:ascii="Arial" w:hAnsi="Arial" w:cs="Arial"/>
          <w:sz w:val="22"/>
          <w:szCs w:val="22"/>
        </w:rPr>
        <w:t>sectors</w:t>
      </w:r>
      <w:r w:rsidRPr="00CD45E2">
        <w:rPr>
          <w:rFonts w:ascii="Arial" w:hAnsi="Arial" w:cs="Arial"/>
          <w:sz w:val="22"/>
          <w:szCs w:val="22"/>
        </w:rPr>
        <w:t xml:space="preserve">. The CIO’s recent Annual Report on Operations reported that small and medium amount lenders accounted for 12.2% of complaints, </w:t>
      </w:r>
      <w:r w:rsidR="00424684">
        <w:rPr>
          <w:rFonts w:ascii="Arial" w:hAnsi="Arial" w:cs="Arial"/>
          <w:sz w:val="22"/>
          <w:szCs w:val="22"/>
        </w:rPr>
        <w:t xml:space="preserve">the </w:t>
      </w:r>
      <w:r w:rsidRPr="00CD45E2">
        <w:rPr>
          <w:rFonts w:ascii="Arial" w:hAnsi="Arial" w:cs="Arial"/>
          <w:sz w:val="22"/>
          <w:szCs w:val="22"/>
        </w:rPr>
        <w:t xml:space="preserve">second-highest following debt collectors. Most of the complaints about small </w:t>
      </w:r>
      <w:r w:rsidRPr="00D821F0">
        <w:rPr>
          <w:rFonts w:ascii="Arial" w:hAnsi="Arial" w:cs="Arial"/>
          <w:sz w:val="22"/>
          <w:szCs w:val="22"/>
        </w:rPr>
        <w:t xml:space="preserve">and medium amount lenders related to inappropriate finance including irresponsible lending (56.1% of those complaints). </w:t>
      </w:r>
      <w:r w:rsidR="00CD45E2" w:rsidRPr="00D821F0">
        <w:rPr>
          <w:rFonts w:ascii="Arial" w:hAnsi="Arial" w:cs="Arial"/>
          <w:sz w:val="22"/>
          <w:szCs w:val="22"/>
        </w:rPr>
        <w:t xml:space="preserve">The report also </w:t>
      </w:r>
      <w:r w:rsidR="00424684" w:rsidRPr="00D821F0">
        <w:rPr>
          <w:rFonts w:ascii="Arial" w:hAnsi="Arial" w:cs="Arial"/>
          <w:sz w:val="22"/>
          <w:szCs w:val="22"/>
        </w:rPr>
        <w:t>stated</w:t>
      </w:r>
      <w:r w:rsidR="00CD45E2" w:rsidRPr="00D821F0">
        <w:rPr>
          <w:rFonts w:ascii="Arial" w:hAnsi="Arial" w:cs="Arial"/>
          <w:sz w:val="22"/>
          <w:szCs w:val="22"/>
        </w:rPr>
        <w:t xml:space="preserve"> that some </w:t>
      </w:r>
      <w:r w:rsidRPr="00D821F0">
        <w:rPr>
          <w:rFonts w:ascii="Arial" w:hAnsi="Arial" w:cs="Arial"/>
          <w:sz w:val="22"/>
          <w:szCs w:val="22"/>
        </w:rPr>
        <w:t>consumer lease providers</w:t>
      </w:r>
      <w:r w:rsidR="00CD45E2" w:rsidRPr="00D821F0">
        <w:rPr>
          <w:rFonts w:ascii="Arial" w:hAnsi="Arial" w:cs="Arial"/>
          <w:sz w:val="22"/>
          <w:szCs w:val="22"/>
        </w:rPr>
        <w:t xml:space="preserve"> had begun</w:t>
      </w:r>
      <w:r w:rsidRPr="00D821F0">
        <w:rPr>
          <w:rFonts w:ascii="Arial" w:hAnsi="Arial" w:cs="Arial"/>
          <w:sz w:val="22"/>
          <w:szCs w:val="22"/>
        </w:rPr>
        <w:t xml:space="preserve"> filing police</w:t>
      </w:r>
      <w:r w:rsidRPr="00CD45E2">
        <w:rPr>
          <w:rFonts w:ascii="Arial" w:hAnsi="Arial" w:cs="Arial"/>
          <w:sz w:val="22"/>
          <w:szCs w:val="22"/>
        </w:rPr>
        <w:t xml:space="preserve"> reports for payment defaults</w:t>
      </w:r>
      <w:r w:rsidR="00CD45E2" w:rsidRPr="00CD45E2">
        <w:rPr>
          <w:rFonts w:ascii="Arial" w:hAnsi="Arial" w:cs="Arial"/>
          <w:sz w:val="22"/>
          <w:szCs w:val="22"/>
        </w:rPr>
        <w:t>.</w:t>
      </w:r>
      <w:r w:rsidR="00CD45E2" w:rsidRPr="00CD45E2">
        <w:rPr>
          <w:rStyle w:val="FootnoteReference"/>
          <w:rFonts w:ascii="Arial" w:hAnsi="Arial" w:cs="Arial"/>
          <w:sz w:val="22"/>
          <w:szCs w:val="22"/>
        </w:rPr>
        <w:footnoteReference w:id="10"/>
      </w:r>
      <w:r w:rsidR="0011336C">
        <w:rPr>
          <w:rFonts w:ascii="Arial" w:hAnsi="Arial" w:cs="Arial"/>
          <w:sz w:val="22"/>
          <w:szCs w:val="22"/>
        </w:rPr>
        <w:t xml:space="preserve"> </w:t>
      </w:r>
      <w:r w:rsidRPr="00CD45E2">
        <w:rPr>
          <w:rFonts w:ascii="Arial" w:hAnsi="Arial" w:cs="Arial"/>
          <w:sz w:val="22"/>
          <w:szCs w:val="22"/>
        </w:rPr>
        <w:t>The CIO</w:t>
      </w:r>
      <w:r w:rsidR="00CD45E2" w:rsidRPr="00CD45E2">
        <w:rPr>
          <w:rFonts w:ascii="Arial" w:hAnsi="Arial" w:cs="Arial"/>
          <w:sz w:val="22"/>
          <w:szCs w:val="22"/>
        </w:rPr>
        <w:t xml:space="preserve"> also</w:t>
      </w:r>
      <w:r w:rsidRPr="00CD45E2">
        <w:rPr>
          <w:rFonts w:ascii="Arial" w:hAnsi="Arial" w:cs="Arial"/>
          <w:sz w:val="22"/>
          <w:szCs w:val="22"/>
        </w:rPr>
        <w:t xml:space="preserve"> identified unconscionable conduct by a consumer lease provider targeting vulnerable people in remote NSW</w:t>
      </w:r>
      <w:r w:rsidR="00CD45E2" w:rsidRPr="00CD45E2">
        <w:rPr>
          <w:rFonts w:ascii="Arial" w:hAnsi="Arial" w:cs="Arial"/>
          <w:sz w:val="22"/>
          <w:szCs w:val="22"/>
        </w:rPr>
        <w:t>, which saw the lease provider ejected from the scheme.</w:t>
      </w:r>
      <w:r w:rsidR="00CD45E2" w:rsidRPr="00CD45E2">
        <w:rPr>
          <w:rStyle w:val="FootnoteReference"/>
          <w:rFonts w:ascii="Arial" w:hAnsi="Arial" w:cs="Arial"/>
          <w:sz w:val="22"/>
          <w:szCs w:val="22"/>
        </w:rPr>
        <w:footnoteReference w:id="11"/>
      </w:r>
    </w:p>
    <w:p w14:paraId="4331441B" w14:textId="77777777" w:rsidR="006C3609" w:rsidRPr="00CD45E2" w:rsidRDefault="006C3609" w:rsidP="00092F84">
      <w:pPr>
        <w:spacing w:line="276" w:lineRule="auto"/>
        <w:jc w:val="both"/>
        <w:rPr>
          <w:rFonts w:ascii="Arial" w:hAnsi="Arial" w:cs="Arial"/>
          <w:sz w:val="22"/>
          <w:szCs w:val="22"/>
        </w:rPr>
      </w:pPr>
    </w:p>
    <w:p w14:paraId="4C2C8740" w14:textId="6EA81946" w:rsidR="006C3609" w:rsidRPr="00232EBD" w:rsidRDefault="006C3609" w:rsidP="2156E3F7">
      <w:pPr>
        <w:spacing w:line="276" w:lineRule="auto"/>
        <w:jc w:val="both"/>
        <w:rPr>
          <w:rFonts w:ascii="Arial" w:hAnsi="Arial" w:cs="Arial"/>
          <w:sz w:val="22"/>
          <w:szCs w:val="22"/>
        </w:rPr>
      </w:pPr>
      <w:r w:rsidRPr="00CD45E2">
        <w:rPr>
          <w:rFonts w:ascii="Arial" w:hAnsi="Arial" w:cs="Arial"/>
          <w:sz w:val="22"/>
          <w:szCs w:val="22"/>
        </w:rPr>
        <w:t xml:space="preserve">We have </w:t>
      </w:r>
      <w:r w:rsidR="00424684">
        <w:rPr>
          <w:rFonts w:ascii="Arial" w:hAnsi="Arial" w:cs="Arial"/>
          <w:sz w:val="22"/>
          <w:szCs w:val="22"/>
        </w:rPr>
        <w:t xml:space="preserve">also </w:t>
      </w:r>
      <w:r w:rsidRPr="00CD45E2">
        <w:rPr>
          <w:rFonts w:ascii="Arial" w:hAnsi="Arial" w:cs="Arial"/>
          <w:sz w:val="22"/>
          <w:szCs w:val="22"/>
        </w:rPr>
        <w:t xml:space="preserve">seen </w:t>
      </w:r>
      <w:r w:rsidR="00CD45E2" w:rsidRPr="00CD45E2">
        <w:rPr>
          <w:rFonts w:ascii="Arial" w:hAnsi="Arial" w:cs="Arial"/>
          <w:sz w:val="22"/>
          <w:szCs w:val="22"/>
        </w:rPr>
        <w:t>data released by the</w:t>
      </w:r>
      <w:r w:rsidRPr="00CD45E2">
        <w:rPr>
          <w:rFonts w:ascii="Arial" w:hAnsi="Arial" w:cs="Arial"/>
          <w:sz w:val="22"/>
          <w:szCs w:val="22"/>
        </w:rPr>
        <w:t xml:space="preserve"> industry </w:t>
      </w:r>
      <w:r w:rsidR="00CD45E2" w:rsidRPr="00CD45E2">
        <w:rPr>
          <w:rFonts w:ascii="Arial" w:hAnsi="Arial" w:cs="Arial"/>
          <w:sz w:val="22"/>
          <w:szCs w:val="22"/>
        </w:rPr>
        <w:t>itself</w:t>
      </w:r>
      <w:r w:rsidRPr="00CD45E2">
        <w:rPr>
          <w:rFonts w:ascii="Arial" w:hAnsi="Arial" w:cs="Arial"/>
          <w:sz w:val="22"/>
          <w:szCs w:val="22"/>
        </w:rPr>
        <w:t xml:space="preserve"> that suggests there are serious systemic problems with the fringe finance industry. According to payday loan industry data, in the 2015/16 financial year</w:t>
      </w:r>
      <w:r w:rsidRPr="00CD45E2">
        <w:rPr>
          <w:rStyle w:val="FootnoteReference"/>
          <w:rFonts w:ascii="Arial" w:hAnsi="Arial" w:cs="Arial"/>
          <w:sz w:val="22"/>
          <w:szCs w:val="22"/>
        </w:rPr>
        <w:footnoteReference w:id="12"/>
      </w:r>
      <w:r w:rsidRPr="00CD45E2">
        <w:rPr>
          <w:rFonts w:ascii="Arial" w:hAnsi="Arial" w:cs="Arial"/>
          <w:sz w:val="22"/>
          <w:szCs w:val="22"/>
        </w:rPr>
        <w:t xml:space="preserve"> there were 619,549 new payday loans with $476.8 million advanced. Two in five (39.8%) people who entered into a SACC loan</w:t>
      </w:r>
      <w:r w:rsidR="00424684">
        <w:rPr>
          <w:rFonts w:ascii="Arial" w:hAnsi="Arial" w:cs="Arial"/>
          <w:sz w:val="22"/>
          <w:szCs w:val="22"/>
        </w:rPr>
        <w:t xml:space="preserve"> in this period</w:t>
      </w:r>
      <w:r w:rsidRPr="00CD45E2">
        <w:rPr>
          <w:rFonts w:ascii="Arial" w:hAnsi="Arial" w:cs="Arial"/>
          <w:sz w:val="22"/>
          <w:szCs w:val="22"/>
        </w:rPr>
        <w:t xml:space="preserve"> were unemployed and one in four (26.4%) SACC loans were given</w:t>
      </w:r>
      <w:r w:rsidRPr="00232EBD">
        <w:rPr>
          <w:rFonts w:ascii="Arial" w:hAnsi="Arial" w:cs="Arial"/>
          <w:sz w:val="22"/>
          <w:szCs w:val="22"/>
        </w:rPr>
        <w:t xml:space="preserve"> to people receiving more than 50% of their income from Centrelink. One in six (16.7%) payday loans were given to customers with an existing payday loan. In Q2 2015, 75% of lenders admitted to providing SACC loans to customers who have had two or more SACCs in the previous 90 days</w:t>
      </w:r>
      <w:r w:rsidR="00DD56B1">
        <w:rPr>
          <w:rFonts w:ascii="Arial" w:hAnsi="Arial" w:cs="Arial"/>
          <w:sz w:val="22"/>
          <w:szCs w:val="22"/>
        </w:rPr>
        <w:t>,</w:t>
      </w:r>
      <w:r w:rsidR="0072698D" w:rsidRPr="00232EBD">
        <w:rPr>
          <w:rStyle w:val="FootnoteReference"/>
          <w:rFonts w:ascii="Arial" w:hAnsi="Arial" w:cs="Arial"/>
          <w:sz w:val="22"/>
          <w:szCs w:val="22"/>
        </w:rPr>
        <w:footnoteReference w:id="13"/>
      </w:r>
      <w:r w:rsidR="0072698D">
        <w:rPr>
          <w:rFonts w:ascii="Arial" w:hAnsi="Arial" w:cs="Arial"/>
          <w:sz w:val="22"/>
          <w:szCs w:val="22"/>
        </w:rPr>
        <w:t xml:space="preserve"> </w:t>
      </w:r>
      <w:r w:rsidR="00DD56B1">
        <w:rPr>
          <w:rFonts w:ascii="Arial" w:hAnsi="Arial" w:cs="Arial"/>
          <w:sz w:val="22"/>
          <w:szCs w:val="22"/>
        </w:rPr>
        <w:t xml:space="preserve">despite </w:t>
      </w:r>
      <w:r w:rsidR="0072698D">
        <w:rPr>
          <w:rFonts w:ascii="Arial" w:hAnsi="Arial" w:cs="Arial"/>
          <w:sz w:val="22"/>
          <w:szCs w:val="22"/>
        </w:rPr>
        <w:t xml:space="preserve">these loans </w:t>
      </w:r>
      <w:r w:rsidR="00DD56B1">
        <w:rPr>
          <w:rFonts w:ascii="Arial" w:hAnsi="Arial" w:cs="Arial"/>
          <w:sz w:val="22"/>
          <w:szCs w:val="22"/>
        </w:rPr>
        <w:t>being</w:t>
      </w:r>
      <w:r w:rsidR="0072698D">
        <w:rPr>
          <w:rFonts w:ascii="Arial" w:hAnsi="Arial" w:cs="Arial"/>
          <w:sz w:val="22"/>
          <w:szCs w:val="22"/>
        </w:rPr>
        <w:t xml:space="preserve"> presumed to be unsuitable for borrowers under the NCCP Act.</w:t>
      </w:r>
      <w:r w:rsidR="0072698D">
        <w:rPr>
          <w:rStyle w:val="FootnoteReference"/>
          <w:rFonts w:ascii="Arial" w:hAnsi="Arial" w:cs="Arial"/>
          <w:sz w:val="22"/>
          <w:szCs w:val="22"/>
        </w:rPr>
        <w:footnoteReference w:id="14"/>
      </w:r>
      <w:r>
        <w:rPr>
          <w:rFonts w:ascii="Arial" w:hAnsi="Arial" w:cs="Arial"/>
          <w:sz w:val="22"/>
          <w:szCs w:val="22"/>
        </w:rPr>
        <w:t xml:space="preserve"> </w:t>
      </w:r>
      <w:r w:rsidRPr="00232EBD">
        <w:rPr>
          <w:rFonts w:ascii="Arial" w:hAnsi="Arial" w:cs="Arial"/>
          <w:sz w:val="22"/>
          <w:szCs w:val="22"/>
        </w:rPr>
        <w:t xml:space="preserve">The data also shows that most people now apply for </w:t>
      </w:r>
      <w:r>
        <w:rPr>
          <w:rFonts w:ascii="Arial" w:hAnsi="Arial" w:cs="Arial"/>
          <w:sz w:val="22"/>
          <w:szCs w:val="22"/>
        </w:rPr>
        <w:t>loans online (78.3% in Q2 2016), making these loans quicker and easier to obtain than ever before.</w:t>
      </w:r>
      <w:r w:rsidRPr="00232EBD">
        <w:rPr>
          <w:rFonts w:ascii="Arial" w:hAnsi="Arial" w:cs="Arial"/>
          <w:sz w:val="22"/>
          <w:szCs w:val="22"/>
        </w:rPr>
        <w:t xml:space="preserve"> </w:t>
      </w:r>
      <w:r w:rsidR="00424684" w:rsidRPr="00232EBD">
        <w:rPr>
          <w:rFonts w:ascii="Arial" w:hAnsi="Arial" w:cs="Arial"/>
          <w:sz w:val="22"/>
          <w:szCs w:val="22"/>
        </w:rPr>
        <w:t xml:space="preserve">The same industry data </w:t>
      </w:r>
      <w:r w:rsidR="00424684">
        <w:rPr>
          <w:rFonts w:ascii="Arial" w:hAnsi="Arial" w:cs="Arial"/>
          <w:sz w:val="22"/>
          <w:szCs w:val="22"/>
        </w:rPr>
        <w:t>for 2015/16 indicated that</w:t>
      </w:r>
      <w:r w:rsidR="00424684" w:rsidRPr="00232EBD">
        <w:rPr>
          <w:rFonts w:ascii="Arial" w:hAnsi="Arial" w:cs="Arial"/>
          <w:sz w:val="22"/>
          <w:szCs w:val="22"/>
        </w:rPr>
        <w:t xml:space="preserve"> the average size of a new payday loan </w:t>
      </w:r>
      <w:r w:rsidR="00424684" w:rsidRPr="00D821F0">
        <w:rPr>
          <w:rFonts w:ascii="Arial" w:hAnsi="Arial" w:cs="Arial"/>
          <w:sz w:val="22"/>
          <w:szCs w:val="22"/>
        </w:rPr>
        <w:t>entered was $770, and the average length was 134 days.</w:t>
      </w:r>
      <w:r w:rsidR="00424684" w:rsidRPr="00D821F0">
        <w:rPr>
          <w:rStyle w:val="FootnoteReference"/>
          <w:rFonts w:ascii="Arial" w:hAnsi="Arial" w:cs="Arial"/>
          <w:sz w:val="22"/>
          <w:szCs w:val="22"/>
        </w:rPr>
        <w:footnoteReference w:id="15"/>
      </w:r>
      <w:r w:rsidR="00424684" w:rsidRPr="00D821F0">
        <w:rPr>
          <w:rFonts w:ascii="Arial" w:hAnsi="Arial" w:cs="Arial"/>
          <w:sz w:val="22"/>
          <w:szCs w:val="22"/>
        </w:rPr>
        <w:t xml:space="preserve"> This is equivalent to a comparison interest rate of 190.2%.</w:t>
      </w:r>
      <w:r w:rsidR="00424684" w:rsidRPr="00D821F0">
        <w:rPr>
          <w:rStyle w:val="FootnoteReference"/>
          <w:rFonts w:ascii="Arial" w:hAnsi="Arial" w:cs="Arial"/>
          <w:sz w:val="22"/>
          <w:szCs w:val="22"/>
        </w:rPr>
        <w:footnoteReference w:id="16"/>
      </w:r>
    </w:p>
    <w:p w14:paraId="34F71056" w14:textId="2229D0DF" w:rsidR="002F7874" w:rsidRPr="00232EBD" w:rsidRDefault="002F7874" w:rsidP="00092F84">
      <w:pPr>
        <w:spacing w:line="276" w:lineRule="auto"/>
        <w:jc w:val="both"/>
        <w:rPr>
          <w:rFonts w:ascii="Arial" w:hAnsi="Arial" w:cs="Arial"/>
          <w:sz w:val="22"/>
          <w:szCs w:val="22"/>
        </w:rPr>
      </w:pPr>
    </w:p>
    <w:p w14:paraId="6C140C6B" w14:textId="06DFEAF7" w:rsidR="00A146B5" w:rsidRPr="00232EBD" w:rsidRDefault="006C3609" w:rsidP="00092F84">
      <w:pPr>
        <w:spacing w:line="276" w:lineRule="auto"/>
        <w:contextualSpacing/>
        <w:jc w:val="both"/>
        <w:rPr>
          <w:rFonts w:ascii="Arial" w:hAnsi="Arial" w:cs="Arial"/>
          <w:sz w:val="22"/>
          <w:szCs w:val="22"/>
        </w:rPr>
      </w:pPr>
      <w:r>
        <w:rPr>
          <w:rFonts w:ascii="Arial" w:hAnsi="Arial" w:cs="Arial"/>
          <w:sz w:val="22"/>
          <w:szCs w:val="22"/>
        </w:rPr>
        <w:t xml:space="preserve">Since the Government’s response, </w:t>
      </w:r>
      <w:r w:rsidR="00A146B5" w:rsidRPr="00232EBD">
        <w:rPr>
          <w:rFonts w:ascii="Arial" w:hAnsi="Arial" w:cs="Arial"/>
          <w:sz w:val="22"/>
          <w:szCs w:val="22"/>
        </w:rPr>
        <w:t>the United Kingdom</w:t>
      </w:r>
      <w:r>
        <w:rPr>
          <w:rFonts w:ascii="Arial" w:hAnsi="Arial" w:cs="Arial"/>
          <w:sz w:val="22"/>
          <w:szCs w:val="22"/>
        </w:rPr>
        <w:t xml:space="preserve"> financial regulator</w:t>
      </w:r>
      <w:r w:rsidR="00DD56B1">
        <w:rPr>
          <w:rFonts w:ascii="Arial" w:hAnsi="Arial" w:cs="Arial"/>
          <w:sz w:val="22"/>
          <w:szCs w:val="22"/>
        </w:rPr>
        <w:t>,</w:t>
      </w:r>
      <w:r w:rsidR="00A146B5" w:rsidRPr="00232EBD">
        <w:rPr>
          <w:rFonts w:ascii="Arial" w:hAnsi="Arial" w:cs="Arial"/>
          <w:sz w:val="22"/>
          <w:szCs w:val="22"/>
        </w:rPr>
        <w:t xml:space="preserve"> the Financial Conduct Authority (</w:t>
      </w:r>
      <w:r w:rsidR="00A146B5" w:rsidRPr="00232EBD">
        <w:rPr>
          <w:rFonts w:ascii="Arial" w:hAnsi="Arial" w:cs="Arial"/>
          <w:b/>
          <w:sz w:val="22"/>
          <w:szCs w:val="22"/>
        </w:rPr>
        <w:t>FCA</w:t>
      </w:r>
      <w:r>
        <w:rPr>
          <w:rFonts w:ascii="Arial" w:hAnsi="Arial" w:cs="Arial"/>
          <w:sz w:val="22"/>
          <w:szCs w:val="22"/>
        </w:rPr>
        <w:t>)</w:t>
      </w:r>
      <w:r w:rsidR="00DD56B1">
        <w:rPr>
          <w:rFonts w:ascii="Arial" w:hAnsi="Arial" w:cs="Arial"/>
          <w:sz w:val="22"/>
          <w:szCs w:val="22"/>
        </w:rPr>
        <w:t>,</w:t>
      </w:r>
      <w:r>
        <w:rPr>
          <w:rFonts w:ascii="Arial" w:hAnsi="Arial" w:cs="Arial"/>
          <w:sz w:val="22"/>
          <w:szCs w:val="22"/>
        </w:rPr>
        <w:t xml:space="preserve"> has also released research that</w:t>
      </w:r>
      <w:r w:rsidR="00A146B5" w:rsidRPr="00232EBD">
        <w:rPr>
          <w:rFonts w:ascii="Arial" w:hAnsi="Arial" w:cs="Arial"/>
          <w:sz w:val="22"/>
          <w:szCs w:val="22"/>
        </w:rPr>
        <w:t xml:space="preserve"> </w:t>
      </w:r>
      <w:r>
        <w:rPr>
          <w:rFonts w:ascii="Arial" w:hAnsi="Arial" w:cs="Arial"/>
          <w:sz w:val="22"/>
          <w:szCs w:val="22"/>
        </w:rPr>
        <w:t>shows</w:t>
      </w:r>
      <w:r w:rsidR="00A146B5" w:rsidRPr="00232EBD">
        <w:rPr>
          <w:rFonts w:ascii="Arial" w:hAnsi="Arial" w:cs="Arial"/>
          <w:sz w:val="22"/>
          <w:szCs w:val="22"/>
        </w:rPr>
        <w:t xml:space="preserve"> people whose payday loan applications are rejected are generally better off as a result.</w:t>
      </w:r>
      <w:r w:rsidR="00766000">
        <w:rPr>
          <w:rStyle w:val="FootnoteReference"/>
          <w:rFonts w:ascii="Arial" w:hAnsi="Arial" w:cs="Arial"/>
          <w:sz w:val="22"/>
          <w:szCs w:val="22"/>
        </w:rPr>
        <w:footnoteReference w:id="17"/>
      </w:r>
      <w:r w:rsidR="00A146B5" w:rsidRPr="00232EBD">
        <w:rPr>
          <w:rFonts w:ascii="Arial" w:hAnsi="Arial" w:cs="Arial"/>
          <w:sz w:val="22"/>
          <w:szCs w:val="22"/>
        </w:rPr>
        <w:t xml:space="preserve"> The FCA found that the majority (63%) of declined consumers said it was for the best that their application had been unsuccessful. While declined applicants were on a trajectory of increasing debt, this trend was not accelerated after their applications were declined. Many individuals’ accumulation of debt </w:t>
      </w:r>
      <w:r>
        <w:rPr>
          <w:rFonts w:ascii="Arial" w:hAnsi="Arial" w:cs="Arial"/>
          <w:sz w:val="22"/>
          <w:szCs w:val="22"/>
        </w:rPr>
        <w:lastRenderedPageBreak/>
        <w:t>slowed</w:t>
      </w:r>
      <w:r w:rsidR="00A146B5" w:rsidRPr="00232EBD">
        <w:rPr>
          <w:rFonts w:ascii="Arial" w:hAnsi="Arial" w:cs="Arial"/>
          <w:sz w:val="22"/>
          <w:szCs w:val="22"/>
        </w:rPr>
        <w:t xml:space="preserve"> down. There also had not been a simple transfer of demand from one credit product to another, with 60% of declined applicants not go</w:t>
      </w:r>
      <w:r w:rsidR="00424684">
        <w:rPr>
          <w:rFonts w:ascii="Arial" w:hAnsi="Arial" w:cs="Arial"/>
          <w:sz w:val="22"/>
          <w:szCs w:val="22"/>
        </w:rPr>
        <w:t>ing</w:t>
      </w:r>
      <w:r w:rsidR="00A146B5" w:rsidRPr="00232EBD">
        <w:rPr>
          <w:rFonts w:ascii="Arial" w:hAnsi="Arial" w:cs="Arial"/>
          <w:sz w:val="22"/>
          <w:szCs w:val="22"/>
        </w:rPr>
        <w:t xml:space="preserve"> on to borrow from other sources. Further, while 20% of declined individuals reported that they needed the loan to pay a bill, only 1% state</w:t>
      </w:r>
      <w:r>
        <w:rPr>
          <w:rFonts w:ascii="Arial" w:hAnsi="Arial" w:cs="Arial"/>
          <w:sz w:val="22"/>
          <w:szCs w:val="22"/>
        </w:rPr>
        <w:t>d</w:t>
      </w:r>
      <w:r w:rsidR="00A146B5" w:rsidRPr="00232EBD">
        <w:rPr>
          <w:rFonts w:ascii="Arial" w:hAnsi="Arial" w:cs="Arial"/>
          <w:sz w:val="22"/>
          <w:szCs w:val="22"/>
        </w:rPr>
        <w:t xml:space="preserve"> that they missed a bill payment because of not receiving credit. </w:t>
      </w:r>
    </w:p>
    <w:p w14:paraId="5442582C" w14:textId="54E93372" w:rsidR="00A146B5" w:rsidRPr="00232EBD" w:rsidRDefault="2156E3F7" w:rsidP="2156E3F7">
      <w:pPr>
        <w:spacing w:before="240" w:line="276" w:lineRule="auto"/>
        <w:jc w:val="both"/>
        <w:rPr>
          <w:rFonts w:ascii="Arial" w:hAnsi="Arial" w:cs="Arial"/>
          <w:sz w:val="22"/>
          <w:szCs w:val="22"/>
        </w:rPr>
      </w:pPr>
      <w:r w:rsidRPr="2156E3F7">
        <w:rPr>
          <w:rFonts w:ascii="Arial" w:hAnsi="Arial" w:cs="Arial"/>
          <w:sz w:val="22"/>
          <w:szCs w:val="22"/>
        </w:rPr>
        <w:t xml:space="preserve">Importantly, the FCA did not see evidence of a rise in illegal money lending because of the price cap, or that declined or former users of payday loans </w:t>
      </w:r>
      <w:r w:rsidR="00DD56B1">
        <w:rPr>
          <w:rFonts w:ascii="Arial" w:hAnsi="Arial" w:cs="Arial"/>
          <w:sz w:val="22"/>
          <w:szCs w:val="22"/>
        </w:rPr>
        <w:t>were</w:t>
      </w:r>
      <w:r w:rsidRPr="2156E3F7">
        <w:rPr>
          <w:rFonts w:ascii="Arial" w:hAnsi="Arial" w:cs="Arial"/>
          <w:sz w:val="22"/>
          <w:szCs w:val="22"/>
        </w:rPr>
        <w:t xml:space="preserve"> increasingly turning to illegal money lenders. That FCA also suggested that consumer demand for payday loans was firm-led, rather than led by necessity. When asked their main reason for choosing a payday lender, the most common answer people gave was that they had been attracted by the firm’s advertising, with 27% of the surveyed group giving this response. </w:t>
      </w:r>
    </w:p>
    <w:p w14:paraId="558B39F2" w14:textId="22F0BD82" w:rsidR="00A146B5" w:rsidRDefault="00A146B5" w:rsidP="00092F84">
      <w:pPr>
        <w:spacing w:line="276" w:lineRule="auto"/>
        <w:contextualSpacing/>
        <w:jc w:val="both"/>
        <w:rPr>
          <w:rFonts w:ascii="Arial" w:hAnsi="Arial" w:cs="Arial"/>
          <w:sz w:val="22"/>
          <w:szCs w:val="22"/>
        </w:rPr>
      </w:pPr>
    </w:p>
    <w:p w14:paraId="3DB667D1" w14:textId="7BAF2196" w:rsidR="00977074" w:rsidRPr="00D26E77" w:rsidRDefault="00232EBD" w:rsidP="00092F84">
      <w:pPr>
        <w:spacing w:line="276" w:lineRule="auto"/>
        <w:contextualSpacing/>
        <w:jc w:val="both"/>
        <w:rPr>
          <w:rFonts w:ascii="Arial" w:hAnsi="Arial" w:cs="Arial"/>
          <w:sz w:val="22"/>
          <w:szCs w:val="22"/>
        </w:rPr>
      </w:pPr>
      <w:r w:rsidRPr="00D26E77">
        <w:rPr>
          <w:rFonts w:ascii="Arial" w:hAnsi="Arial" w:cs="Arial"/>
          <w:sz w:val="22"/>
          <w:szCs w:val="22"/>
        </w:rPr>
        <w:t>Given this overwhelming evidence, we reiterate our strong support for the reforms proposed in the Bill</w:t>
      </w:r>
      <w:r w:rsidR="00DD56B1">
        <w:rPr>
          <w:rFonts w:ascii="Arial" w:hAnsi="Arial" w:cs="Arial"/>
          <w:sz w:val="22"/>
          <w:szCs w:val="22"/>
        </w:rPr>
        <w:t>.</w:t>
      </w:r>
      <w:r w:rsidRPr="00D26E77">
        <w:rPr>
          <w:rFonts w:ascii="Arial" w:hAnsi="Arial" w:cs="Arial"/>
          <w:sz w:val="22"/>
          <w:szCs w:val="22"/>
        </w:rPr>
        <w:t xml:space="preserve"> </w:t>
      </w:r>
    </w:p>
    <w:p w14:paraId="6656B541" w14:textId="2366B683" w:rsidR="0069513B" w:rsidRPr="00D26E77" w:rsidRDefault="0069513B" w:rsidP="00092F84">
      <w:pPr>
        <w:spacing w:line="276" w:lineRule="auto"/>
        <w:jc w:val="both"/>
        <w:rPr>
          <w:rFonts w:ascii="Arial" w:hAnsi="Arial" w:cs="Arial"/>
          <w:b/>
          <w:sz w:val="22"/>
          <w:szCs w:val="22"/>
        </w:rPr>
      </w:pPr>
    </w:p>
    <w:p w14:paraId="367477DD" w14:textId="45F7D198" w:rsidR="00977074" w:rsidRPr="00D26E77" w:rsidRDefault="00977074" w:rsidP="00092F84">
      <w:pPr>
        <w:spacing w:line="276" w:lineRule="auto"/>
        <w:jc w:val="both"/>
        <w:rPr>
          <w:rFonts w:ascii="Arial" w:hAnsi="Arial" w:cs="Arial"/>
          <w:b/>
          <w:sz w:val="22"/>
          <w:szCs w:val="22"/>
        </w:rPr>
      </w:pPr>
      <w:r w:rsidRPr="00D26E77">
        <w:rPr>
          <w:rFonts w:ascii="Arial" w:hAnsi="Arial" w:cs="Arial"/>
          <w:b/>
          <w:sz w:val="22"/>
          <w:szCs w:val="22"/>
        </w:rPr>
        <w:t>Commencement</w:t>
      </w:r>
    </w:p>
    <w:p w14:paraId="4F30940D" w14:textId="52C96568" w:rsidR="00977074" w:rsidRPr="00D26E77" w:rsidRDefault="00977074" w:rsidP="00092F84">
      <w:pPr>
        <w:spacing w:line="276" w:lineRule="auto"/>
        <w:jc w:val="both"/>
        <w:rPr>
          <w:rFonts w:ascii="Arial" w:hAnsi="Arial" w:cs="Arial"/>
          <w:sz w:val="22"/>
          <w:szCs w:val="22"/>
        </w:rPr>
      </w:pPr>
    </w:p>
    <w:p w14:paraId="13442412" w14:textId="7CB73772" w:rsidR="00977074" w:rsidRPr="00D26E77" w:rsidRDefault="00D26E77" w:rsidP="00092F84">
      <w:pPr>
        <w:spacing w:line="276" w:lineRule="auto"/>
        <w:jc w:val="both"/>
        <w:rPr>
          <w:rFonts w:ascii="Arial" w:hAnsi="Arial" w:cs="Arial"/>
          <w:sz w:val="22"/>
          <w:szCs w:val="22"/>
        </w:rPr>
      </w:pPr>
      <w:r>
        <w:rPr>
          <w:rFonts w:ascii="Arial" w:hAnsi="Arial" w:cs="Arial"/>
          <w:sz w:val="22"/>
          <w:szCs w:val="22"/>
        </w:rPr>
        <w:t>Under the Bill, t</w:t>
      </w:r>
      <w:r w:rsidRPr="00D26E77">
        <w:rPr>
          <w:rFonts w:ascii="Arial" w:hAnsi="Arial" w:cs="Arial"/>
          <w:sz w:val="22"/>
          <w:szCs w:val="22"/>
        </w:rPr>
        <w:t xml:space="preserve">he proposed reforms </w:t>
      </w:r>
      <w:r>
        <w:rPr>
          <w:rFonts w:ascii="Arial" w:hAnsi="Arial" w:cs="Arial"/>
          <w:sz w:val="22"/>
          <w:szCs w:val="22"/>
        </w:rPr>
        <w:t>would</w:t>
      </w:r>
      <w:r w:rsidR="00977074" w:rsidRPr="00D26E77">
        <w:rPr>
          <w:rFonts w:ascii="Arial" w:hAnsi="Arial" w:cs="Arial"/>
          <w:sz w:val="22"/>
          <w:szCs w:val="22"/>
        </w:rPr>
        <w:t xml:space="preserve"> not apply until </w:t>
      </w:r>
      <w:r w:rsidRPr="00D26E77">
        <w:rPr>
          <w:rFonts w:ascii="Arial" w:hAnsi="Arial" w:cs="Arial"/>
          <w:sz w:val="22"/>
          <w:szCs w:val="22"/>
        </w:rPr>
        <w:t xml:space="preserve">12 months after the </w:t>
      </w:r>
      <w:r>
        <w:rPr>
          <w:rFonts w:ascii="Arial" w:hAnsi="Arial" w:cs="Arial"/>
          <w:sz w:val="22"/>
          <w:szCs w:val="22"/>
        </w:rPr>
        <w:t>date of</w:t>
      </w:r>
      <w:r w:rsidRPr="00D26E77">
        <w:rPr>
          <w:rFonts w:ascii="Arial" w:hAnsi="Arial" w:cs="Arial"/>
          <w:sz w:val="22"/>
          <w:szCs w:val="22"/>
        </w:rPr>
        <w:t xml:space="preserve"> Royal Assent</w:t>
      </w:r>
      <w:r w:rsidR="00977074" w:rsidRPr="00D26E77">
        <w:rPr>
          <w:rFonts w:ascii="Arial" w:hAnsi="Arial" w:cs="Arial"/>
          <w:sz w:val="22"/>
          <w:szCs w:val="22"/>
        </w:rPr>
        <w:t xml:space="preserve">. In our view, this transition period is overly generous. </w:t>
      </w:r>
      <w:r w:rsidRPr="00D26E77">
        <w:rPr>
          <w:rFonts w:ascii="Arial" w:hAnsi="Arial" w:cs="Arial"/>
          <w:bCs/>
          <w:sz w:val="22"/>
          <w:szCs w:val="22"/>
        </w:rPr>
        <w:t xml:space="preserve">The industry has been on notice about these reforms since November 2016 when the Government responded to the Review. </w:t>
      </w:r>
      <w:r w:rsidR="00977074" w:rsidRPr="00D26E77">
        <w:rPr>
          <w:rFonts w:ascii="Arial" w:hAnsi="Arial" w:cs="Arial"/>
          <w:sz w:val="22"/>
          <w:szCs w:val="22"/>
        </w:rPr>
        <w:t xml:space="preserve">Given the importance of these reforms, we </w:t>
      </w:r>
      <w:r w:rsidRPr="00D26E77">
        <w:rPr>
          <w:rFonts w:ascii="Arial" w:hAnsi="Arial" w:cs="Arial"/>
          <w:sz w:val="22"/>
          <w:szCs w:val="22"/>
        </w:rPr>
        <w:t>recommend</w:t>
      </w:r>
      <w:r w:rsidR="00977074" w:rsidRPr="00D26E77">
        <w:rPr>
          <w:rFonts w:ascii="Arial" w:hAnsi="Arial" w:cs="Arial"/>
          <w:sz w:val="22"/>
          <w:szCs w:val="22"/>
        </w:rPr>
        <w:t xml:space="preserve"> </w:t>
      </w:r>
      <w:r w:rsidRPr="00D26E77">
        <w:rPr>
          <w:rFonts w:ascii="Arial" w:hAnsi="Arial" w:cs="Arial"/>
          <w:sz w:val="22"/>
          <w:szCs w:val="22"/>
        </w:rPr>
        <w:t xml:space="preserve">the </w:t>
      </w:r>
      <w:r w:rsidR="00092F84">
        <w:rPr>
          <w:rFonts w:ascii="Arial" w:hAnsi="Arial" w:cs="Arial"/>
          <w:sz w:val="22"/>
          <w:szCs w:val="22"/>
        </w:rPr>
        <w:t>provisions in the Bill</w:t>
      </w:r>
      <w:r w:rsidRPr="00D26E77">
        <w:rPr>
          <w:rFonts w:ascii="Arial" w:hAnsi="Arial" w:cs="Arial"/>
          <w:sz w:val="22"/>
          <w:szCs w:val="22"/>
        </w:rPr>
        <w:t xml:space="preserve"> apply</w:t>
      </w:r>
      <w:r>
        <w:rPr>
          <w:rFonts w:ascii="Arial" w:hAnsi="Arial" w:cs="Arial"/>
          <w:sz w:val="22"/>
          <w:szCs w:val="22"/>
        </w:rPr>
        <w:t xml:space="preserve"> from</w:t>
      </w:r>
      <w:r w:rsidRPr="00D26E77">
        <w:rPr>
          <w:rFonts w:ascii="Arial" w:hAnsi="Arial" w:cs="Arial"/>
          <w:sz w:val="22"/>
          <w:szCs w:val="22"/>
        </w:rPr>
        <w:t xml:space="preserve"> 6 months after the date of Royal Assent.</w:t>
      </w:r>
    </w:p>
    <w:p w14:paraId="59799F13" w14:textId="3A491B9A" w:rsidR="00D26E77" w:rsidRPr="00D26E77" w:rsidRDefault="00D26E77" w:rsidP="00092F84">
      <w:pPr>
        <w:spacing w:line="276" w:lineRule="auto"/>
        <w:jc w:val="both"/>
        <w:rPr>
          <w:rFonts w:ascii="Arial" w:hAnsi="Arial" w:cs="Arial"/>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346"/>
      </w:tblGrid>
      <w:tr w:rsidR="00D26E77" w:rsidRPr="00D26E77" w14:paraId="38EEEB8C" w14:textId="77777777" w:rsidTr="00D26E77">
        <w:tc>
          <w:tcPr>
            <w:tcW w:w="9346" w:type="dxa"/>
            <w:shd w:val="clear" w:color="auto" w:fill="D9D9D9" w:themeFill="background1" w:themeFillShade="D9"/>
          </w:tcPr>
          <w:p w14:paraId="421EC265" w14:textId="77777777" w:rsidR="00D26E77" w:rsidRPr="00D26E77" w:rsidRDefault="00D26E77" w:rsidP="00092F84">
            <w:pPr>
              <w:spacing w:line="276" w:lineRule="auto"/>
              <w:jc w:val="both"/>
              <w:rPr>
                <w:rFonts w:ascii="Arial" w:hAnsi="Arial" w:cs="Arial"/>
                <w:b/>
                <w:sz w:val="22"/>
                <w:szCs w:val="22"/>
              </w:rPr>
            </w:pPr>
          </w:p>
          <w:p w14:paraId="5D689012" w14:textId="1D69A494" w:rsidR="00D26E77" w:rsidRPr="00D26E77" w:rsidRDefault="00D26E77" w:rsidP="00092F84">
            <w:pPr>
              <w:spacing w:line="276" w:lineRule="auto"/>
              <w:jc w:val="both"/>
              <w:rPr>
                <w:rFonts w:ascii="Arial" w:hAnsi="Arial" w:cs="Arial"/>
                <w:sz w:val="22"/>
                <w:szCs w:val="22"/>
              </w:rPr>
            </w:pPr>
            <w:r w:rsidRPr="00D26E77">
              <w:rPr>
                <w:rFonts w:ascii="Arial" w:hAnsi="Arial" w:cs="Arial"/>
                <w:b/>
                <w:sz w:val="22"/>
                <w:szCs w:val="22"/>
              </w:rPr>
              <w:t>Recommendation 1:</w:t>
            </w:r>
            <w:r w:rsidRPr="00D26E77">
              <w:rPr>
                <w:rFonts w:ascii="Arial" w:hAnsi="Arial" w:cs="Arial"/>
                <w:sz w:val="22"/>
                <w:szCs w:val="22"/>
              </w:rPr>
              <w:t xml:space="preserve"> </w:t>
            </w:r>
            <w:r w:rsidR="00766902">
              <w:rPr>
                <w:rFonts w:ascii="Arial" w:hAnsi="Arial" w:cs="Arial"/>
                <w:sz w:val="22"/>
                <w:szCs w:val="22"/>
              </w:rPr>
              <w:t>A</w:t>
            </w:r>
            <w:r>
              <w:rPr>
                <w:rFonts w:ascii="Arial" w:hAnsi="Arial" w:cs="Arial"/>
                <w:sz w:val="22"/>
                <w:szCs w:val="22"/>
              </w:rPr>
              <w:t xml:space="preserve">pply </w:t>
            </w:r>
            <w:r w:rsidR="00766902">
              <w:rPr>
                <w:rFonts w:ascii="Arial" w:hAnsi="Arial" w:cs="Arial"/>
                <w:sz w:val="22"/>
                <w:szCs w:val="22"/>
              </w:rPr>
              <w:t xml:space="preserve">the reforms </w:t>
            </w:r>
            <w:r>
              <w:rPr>
                <w:rFonts w:ascii="Arial" w:hAnsi="Arial" w:cs="Arial"/>
                <w:sz w:val="22"/>
                <w:szCs w:val="22"/>
              </w:rPr>
              <w:t>from</w:t>
            </w:r>
            <w:r w:rsidRPr="00D26E77">
              <w:rPr>
                <w:rFonts w:ascii="Arial" w:hAnsi="Arial" w:cs="Arial"/>
                <w:sz w:val="22"/>
                <w:szCs w:val="22"/>
              </w:rPr>
              <w:t xml:space="preserve"> 6 months after the date of Royal Assent. </w:t>
            </w:r>
          </w:p>
          <w:p w14:paraId="790B1343" w14:textId="4CEA8E79" w:rsidR="00D26E77" w:rsidRPr="00D26E77" w:rsidRDefault="00D26E77" w:rsidP="00092F84">
            <w:pPr>
              <w:spacing w:line="276" w:lineRule="auto"/>
              <w:jc w:val="both"/>
              <w:rPr>
                <w:rFonts w:ascii="Arial" w:hAnsi="Arial" w:cs="Arial"/>
                <w:sz w:val="22"/>
                <w:szCs w:val="22"/>
              </w:rPr>
            </w:pPr>
          </w:p>
        </w:tc>
      </w:tr>
    </w:tbl>
    <w:p w14:paraId="21B4C913" w14:textId="77777777" w:rsidR="00D26E77" w:rsidRPr="00D26E77" w:rsidRDefault="00D26E77" w:rsidP="00092F84">
      <w:pPr>
        <w:spacing w:line="276" w:lineRule="auto"/>
        <w:jc w:val="both"/>
        <w:rPr>
          <w:rFonts w:ascii="Arial" w:hAnsi="Arial" w:cs="Arial"/>
          <w:sz w:val="22"/>
          <w:szCs w:val="22"/>
        </w:rPr>
      </w:pPr>
    </w:p>
    <w:p w14:paraId="347E9672" w14:textId="453DC49B" w:rsidR="00D26E77" w:rsidRDefault="00766000" w:rsidP="00092F84">
      <w:pPr>
        <w:spacing w:line="276" w:lineRule="auto"/>
        <w:jc w:val="both"/>
        <w:rPr>
          <w:rFonts w:ascii="Arial" w:hAnsi="Arial" w:cs="Arial"/>
          <w:b/>
          <w:sz w:val="22"/>
          <w:szCs w:val="22"/>
        </w:rPr>
      </w:pPr>
      <w:r>
        <w:rPr>
          <w:rFonts w:ascii="Arial" w:hAnsi="Arial" w:cs="Arial"/>
          <w:b/>
          <w:sz w:val="22"/>
          <w:szCs w:val="22"/>
        </w:rPr>
        <w:t>Item</w:t>
      </w:r>
      <w:r w:rsidR="00D26E77" w:rsidRPr="00D26E77">
        <w:rPr>
          <w:rFonts w:ascii="Arial" w:hAnsi="Arial" w:cs="Arial"/>
          <w:b/>
          <w:sz w:val="22"/>
          <w:szCs w:val="22"/>
        </w:rPr>
        <w:t xml:space="preserve"> 1</w:t>
      </w:r>
      <w:r w:rsidR="00201D6F">
        <w:rPr>
          <w:rFonts w:ascii="Arial" w:hAnsi="Arial" w:cs="Arial"/>
          <w:b/>
          <w:sz w:val="22"/>
          <w:szCs w:val="22"/>
        </w:rPr>
        <w:t xml:space="preserve"> </w:t>
      </w:r>
      <w:r w:rsidR="00D26E77" w:rsidRPr="00D26E77">
        <w:rPr>
          <w:rFonts w:ascii="Arial" w:hAnsi="Arial" w:cs="Arial"/>
          <w:b/>
          <w:sz w:val="22"/>
          <w:szCs w:val="22"/>
        </w:rPr>
        <w:t xml:space="preserve">– </w:t>
      </w:r>
      <w:r>
        <w:rPr>
          <w:rFonts w:ascii="Arial" w:hAnsi="Arial" w:cs="Arial"/>
          <w:b/>
          <w:sz w:val="22"/>
          <w:szCs w:val="22"/>
        </w:rPr>
        <w:t>D</w:t>
      </w:r>
      <w:r w:rsidR="00D26E77" w:rsidRPr="00D26E77">
        <w:rPr>
          <w:rFonts w:ascii="Arial" w:hAnsi="Arial" w:cs="Arial"/>
          <w:b/>
          <w:sz w:val="22"/>
          <w:szCs w:val="22"/>
        </w:rPr>
        <w:t>efinition of consumer lease for household goods</w:t>
      </w:r>
      <w:r w:rsidR="005E6D03">
        <w:rPr>
          <w:rStyle w:val="FootnoteReference"/>
          <w:rFonts w:ascii="Arial" w:hAnsi="Arial" w:cs="Arial"/>
          <w:b/>
          <w:sz w:val="22"/>
          <w:szCs w:val="22"/>
        </w:rPr>
        <w:footnoteReference w:id="18"/>
      </w:r>
    </w:p>
    <w:p w14:paraId="09ACC2FD" w14:textId="203D8A18" w:rsidR="00D26E77" w:rsidRDefault="00D26E77" w:rsidP="00092F84">
      <w:pPr>
        <w:spacing w:line="276" w:lineRule="auto"/>
        <w:jc w:val="both"/>
        <w:rPr>
          <w:rFonts w:ascii="Arial" w:hAnsi="Arial" w:cs="Arial"/>
          <w:b/>
          <w:sz w:val="22"/>
          <w:szCs w:val="22"/>
        </w:rPr>
      </w:pPr>
    </w:p>
    <w:p w14:paraId="73E77144" w14:textId="4E56F8F1" w:rsidR="00D26E77" w:rsidRPr="0072698D" w:rsidRDefault="2156E3F7" w:rsidP="0072698D">
      <w:pPr>
        <w:spacing w:line="276" w:lineRule="auto"/>
        <w:jc w:val="both"/>
        <w:rPr>
          <w:rFonts w:ascii="Arial" w:hAnsi="Arial" w:cs="Arial"/>
          <w:sz w:val="22"/>
          <w:szCs w:val="22"/>
        </w:rPr>
      </w:pPr>
      <w:r w:rsidRPr="2156E3F7">
        <w:rPr>
          <w:rFonts w:ascii="Arial" w:hAnsi="Arial" w:cs="Arial"/>
          <w:sz w:val="22"/>
          <w:szCs w:val="22"/>
        </w:rPr>
        <w:t xml:space="preserve">The Bill introduces the concept of a ‘consumer lease for household goods’. This is a new definition, which specifically excludes motor vehicles. The cap on costs and anti-avoidance provisions apply to all consumer leases, including motor vehicles. We are very supportive of these </w:t>
      </w:r>
      <w:r w:rsidRPr="0072698D">
        <w:rPr>
          <w:rFonts w:ascii="Arial" w:hAnsi="Arial" w:cs="Arial"/>
          <w:sz w:val="22"/>
          <w:szCs w:val="22"/>
        </w:rPr>
        <w:t>provisions applying to all consumer leases. However, we are concerned that the remaining consumer lease reforms in the Bill would only apply to consumer leases for household goods.</w:t>
      </w:r>
      <w:r w:rsidR="0072698D" w:rsidRPr="0072698D">
        <w:rPr>
          <w:rFonts w:ascii="Arial" w:hAnsi="Arial" w:cs="Arial"/>
          <w:sz w:val="22"/>
          <w:szCs w:val="22"/>
        </w:rPr>
        <w:t xml:space="preserve"> The Government flagged consideration of motor vehicle consumer leases in its response to the Review, and </w:t>
      </w:r>
      <w:r w:rsidR="0072698D" w:rsidRPr="00D821F0">
        <w:rPr>
          <w:rFonts w:ascii="Arial" w:hAnsi="Arial" w:cs="Arial"/>
          <w:sz w:val="22"/>
          <w:szCs w:val="22"/>
        </w:rPr>
        <w:t xml:space="preserve">consultation </w:t>
      </w:r>
      <w:r w:rsidR="00DD56B1">
        <w:rPr>
          <w:rFonts w:ascii="Arial" w:hAnsi="Arial" w:cs="Arial"/>
          <w:sz w:val="22"/>
          <w:szCs w:val="22"/>
        </w:rPr>
        <w:t xml:space="preserve">process </w:t>
      </w:r>
      <w:r w:rsidR="0072698D">
        <w:rPr>
          <w:rFonts w:ascii="Arial" w:hAnsi="Arial" w:cs="Arial"/>
          <w:sz w:val="22"/>
          <w:szCs w:val="22"/>
        </w:rPr>
        <w:t xml:space="preserve">for the Review </w:t>
      </w:r>
      <w:r w:rsidR="00DD56B1">
        <w:rPr>
          <w:rFonts w:ascii="Arial" w:hAnsi="Arial" w:cs="Arial"/>
          <w:sz w:val="22"/>
          <w:szCs w:val="22"/>
        </w:rPr>
        <w:t>was</w:t>
      </w:r>
      <w:r w:rsidR="0072698D" w:rsidRPr="00D821F0">
        <w:rPr>
          <w:rFonts w:ascii="Arial" w:hAnsi="Arial" w:cs="Arial"/>
          <w:sz w:val="22"/>
          <w:szCs w:val="22"/>
        </w:rPr>
        <w:t xml:space="preserve"> extensive.  For this reason, motor vehicle consumer lease providers cannot claim to have had no opportunity to contribute to this debate and ignorance of the consultation process is no defence.</w:t>
      </w:r>
    </w:p>
    <w:p w14:paraId="51F7A37A" w14:textId="2D22D2EB" w:rsidR="00232EBD" w:rsidRPr="005E6D03" w:rsidRDefault="00232EBD" w:rsidP="00092F84">
      <w:pPr>
        <w:spacing w:line="276" w:lineRule="auto"/>
        <w:jc w:val="both"/>
        <w:rPr>
          <w:rFonts w:ascii="Arial" w:hAnsi="Arial" w:cs="Arial"/>
          <w:b/>
          <w:sz w:val="22"/>
          <w:szCs w:val="22"/>
        </w:rPr>
      </w:pPr>
    </w:p>
    <w:p w14:paraId="78050169" w14:textId="4A53215D" w:rsidR="000031B9" w:rsidRPr="005E6D03" w:rsidRDefault="000031B9" w:rsidP="00092F84">
      <w:pPr>
        <w:spacing w:line="276" w:lineRule="auto"/>
        <w:jc w:val="both"/>
        <w:rPr>
          <w:rFonts w:ascii="Arial" w:hAnsi="Arial" w:cs="Arial"/>
          <w:i/>
          <w:sz w:val="22"/>
          <w:szCs w:val="22"/>
        </w:rPr>
      </w:pPr>
      <w:r w:rsidRPr="005E6D03">
        <w:rPr>
          <w:rFonts w:ascii="Arial" w:hAnsi="Arial" w:cs="Arial"/>
          <w:sz w:val="22"/>
          <w:szCs w:val="22"/>
        </w:rPr>
        <w:t>Motor vehicle lease providers target consumers that cannot access mainstream motor vehicle finance due to their financial position or credit history. We have received many complaints in relation to motor vehicle consumer lease providers Motor Finance Wizard</w:t>
      </w:r>
      <w:r w:rsidRPr="005E6D03">
        <w:rPr>
          <w:rStyle w:val="FootnoteReference"/>
          <w:rFonts w:ascii="Arial" w:hAnsi="Arial" w:cs="Arial"/>
          <w:sz w:val="22"/>
          <w:szCs w:val="22"/>
        </w:rPr>
        <w:footnoteReference w:id="19"/>
      </w:r>
      <w:r w:rsidRPr="005E6D03">
        <w:rPr>
          <w:rFonts w:ascii="Arial" w:hAnsi="Arial" w:cs="Arial"/>
          <w:sz w:val="22"/>
          <w:szCs w:val="22"/>
        </w:rPr>
        <w:t xml:space="preserve"> and Carboodle</w:t>
      </w:r>
      <w:r w:rsidR="005E6D03">
        <w:rPr>
          <w:rFonts w:ascii="Arial" w:hAnsi="Arial" w:cs="Arial"/>
          <w:sz w:val="22"/>
          <w:szCs w:val="22"/>
        </w:rPr>
        <w:t>.</w:t>
      </w:r>
      <w:r w:rsidRPr="005E6D03">
        <w:rPr>
          <w:rStyle w:val="FootnoteReference"/>
          <w:rFonts w:ascii="Arial" w:hAnsi="Arial" w:cs="Arial"/>
          <w:sz w:val="22"/>
          <w:szCs w:val="22"/>
        </w:rPr>
        <w:footnoteReference w:id="20"/>
      </w:r>
      <w:r w:rsidRPr="005E6D03">
        <w:rPr>
          <w:rFonts w:ascii="Arial" w:hAnsi="Arial" w:cs="Arial"/>
          <w:sz w:val="22"/>
          <w:szCs w:val="22"/>
        </w:rPr>
        <w:t xml:space="preserve"> As </w:t>
      </w:r>
      <w:r w:rsidRPr="005E6D03">
        <w:rPr>
          <w:rFonts w:ascii="Arial" w:hAnsi="Arial" w:cs="Arial"/>
          <w:sz w:val="22"/>
          <w:szCs w:val="22"/>
        </w:rPr>
        <w:lastRenderedPageBreak/>
        <w:t xml:space="preserve">noted above, ASIC has also recently taken enforcement action against Motor Finance Wizard </w:t>
      </w:r>
      <w:r w:rsidR="005E6D03" w:rsidRPr="005E6D03">
        <w:rPr>
          <w:rFonts w:ascii="Arial" w:hAnsi="Arial" w:cs="Arial"/>
          <w:sz w:val="22"/>
          <w:szCs w:val="22"/>
        </w:rPr>
        <w:t xml:space="preserve">in relation to irresponsible lending. Under the enforceable undertaking, Motor Finance Wizard was required to </w:t>
      </w:r>
      <w:r w:rsidRPr="005E6D03">
        <w:rPr>
          <w:rFonts w:ascii="Arial" w:hAnsi="Arial" w:cs="Arial"/>
          <w:sz w:val="22"/>
          <w:szCs w:val="22"/>
        </w:rPr>
        <w:t xml:space="preserve">pay over $11 million </w:t>
      </w:r>
      <w:r w:rsidR="005E6D03" w:rsidRPr="005E6D03">
        <w:rPr>
          <w:rFonts w:ascii="Arial" w:hAnsi="Arial" w:cs="Arial"/>
          <w:sz w:val="22"/>
          <w:szCs w:val="22"/>
        </w:rPr>
        <w:t>to vulnerable consumers across Australia.</w:t>
      </w:r>
      <w:r w:rsidRPr="005E6D03">
        <w:rPr>
          <w:rStyle w:val="FootnoteReference"/>
          <w:rFonts w:ascii="Arial" w:hAnsi="Arial" w:cs="Arial"/>
          <w:sz w:val="22"/>
          <w:szCs w:val="22"/>
        </w:rPr>
        <w:footnoteReference w:id="21"/>
      </w:r>
    </w:p>
    <w:p w14:paraId="3D2ABAA5" w14:textId="27DE0890" w:rsidR="000031B9" w:rsidRPr="005E6D03" w:rsidRDefault="000031B9" w:rsidP="00092F84">
      <w:pPr>
        <w:pStyle w:val="Default"/>
        <w:spacing w:line="276" w:lineRule="auto"/>
        <w:jc w:val="both"/>
        <w:rPr>
          <w:sz w:val="14"/>
          <w:szCs w:val="14"/>
        </w:rPr>
      </w:pPr>
    </w:p>
    <w:p w14:paraId="2C0250F2" w14:textId="48C08C40" w:rsidR="000031B9" w:rsidRDefault="005E6D03" w:rsidP="00092F84">
      <w:pPr>
        <w:pStyle w:val="Default"/>
        <w:spacing w:line="276" w:lineRule="auto"/>
        <w:jc w:val="both"/>
        <w:rPr>
          <w:sz w:val="22"/>
          <w:szCs w:val="22"/>
        </w:rPr>
      </w:pPr>
      <w:r w:rsidRPr="005E6D03">
        <w:rPr>
          <w:sz w:val="22"/>
          <w:szCs w:val="22"/>
        </w:rPr>
        <w:t xml:space="preserve">Like consumer leases for household goods, </w:t>
      </w:r>
      <w:r w:rsidR="000031B9" w:rsidRPr="005E6D03">
        <w:rPr>
          <w:sz w:val="22"/>
          <w:szCs w:val="22"/>
        </w:rPr>
        <w:t xml:space="preserve">these products generally charge highly inflated prices and contracts can lock consumers into long-term arrangements. </w:t>
      </w:r>
      <w:r w:rsidR="00D03C17">
        <w:rPr>
          <w:sz w:val="22"/>
          <w:szCs w:val="22"/>
        </w:rPr>
        <w:t xml:space="preserve">Repayments on these arrangements can also take up a high proportion of a borrower’s income, just like consumer leases for household goods. </w:t>
      </w:r>
      <w:r w:rsidR="000031B9" w:rsidRPr="005E6D03">
        <w:rPr>
          <w:sz w:val="22"/>
          <w:szCs w:val="22"/>
        </w:rPr>
        <w:t xml:space="preserve">Returning the vehicle may impose a termination fee, which is unaffordable to the average </w:t>
      </w:r>
      <w:r w:rsidRPr="005E6D03">
        <w:rPr>
          <w:sz w:val="22"/>
          <w:szCs w:val="22"/>
        </w:rPr>
        <w:t xml:space="preserve">person who is targeted by these providers. We recommend </w:t>
      </w:r>
      <w:r>
        <w:rPr>
          <w:sz w:val="22"/>
          <w:szCs w:val="22"/>
        </w:rPr>
        <w:t>removing</w:t>
      </w:r>
      <w:r w:rsidR="000031B9" w:rsidRPr="005E6D03">
        <w:rPr>
          <w:sz w:val="22"/>
          <w:szCs w:val="22"/>
        </w:rPr>
        <w:t xml:space="preserve"> </w:t>
      </w:r>
      <w:r>
        <w:rPr>
          <w:sz w:val="22"/>
          <w:szCs w:val="22"/>
        </w:rPr>
        <w:t>the distinction between consumer leases for household goods and other consumer leases</w:t>
      </w:r>
      <w:r w:rsidR="00DD56B1">
        <w:rPr>
          <w:sz w:val="22"/>
          <w:szCs w:val="22"/>
        </w:rPr>
        <w:t xml:space="preserve"> in the Bill</w:t>
      </w:r>
      <w:r>
        <w:rPr>
          <w:sz w:val="22"/>
          <w:szCs w:val="22"/>
        </w:rPr>
        <w:t xml:space="preserve">. This would effectively require motor vehicle consumer leases </w:t>
      </w:r>
      <w:r w:rsidR="000031B9" w:rsidRPr="005E6D03">
        <w:rPr>
          <w:sz w:val="22"/>
          <w:szCs w:val="22"/>
        </w:rPr>
        <w:t xml:space="preserve">to comply with the </w:t>
      </w:r>
      <w:r w:rsidRPr="005E6D03">
        <w:rPr>
          <w:sz w:val="22"/>
          <w:szCs w:val="22"/>
        </w:rPr>
        <w:t xml:space="preserve">new </w:t>
      </w:r>
      <w:r w:rsidR="000031B9" w:rsidRPr="005E6D03">
        <w:rPr>
          <w:sz w:val="22"/>
          <w:szCs w:val="22"/>
        </w:rPr>
        <w:t>suite of protections</w:t>
      </w:r>
      <w:r w:rsidRPr="005E6D03">
        <w:rPr>
          <w:sz w:val="22"/>
          <w:szCs w:val="22"/>
        </w:rPr>
        <w:t xml:space="preserve"> in the Bill</w:t>
      </w:r>
      <w:r w:rsidR="000031B9" w:rsidRPr="005E6D03">
        <w:rPr>
          <w:sz w:val="22"/>
          <w:szCs w:val="22"/>
        </w:rPr>
        <w:t>, including disclosure about the cost of credit.</w:t>
      </w:r>
    </w:p>
    <w:p w14:paraId="3878A554" w14:textId="7CA2B832" w:rsidR="005E6D03" w:rsidRDefault="005E6D03" w:rsidP="00092F84">
      <w:pPr>
        <w:pStyle w:val="Default"/>
        <w:spacing w:line="276" w:lineRule="auto"/>
        <w:jc w:val="both"/>
        <w:rPr>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346"/>
      </w:tblGrid>
      <w:tr w:rsidR="005E6D03" w14:paraId="02CA89FE" w14:textId="77777777" w:rsidTr="005E6D03">
        <w:tc>
          <w:tcPr>
            <w:tcW w:w="9346" w:type="dxa"/>
            <w:shd w:val="clear" w:color="auto" w:fill="D9D9D9" w:themeFill="background1" w:themeFillShade="D9"/>
          </w:tcPr>
          <w:p w14:paraId="7D28121A" w14:textId="77777777" w:rsidR="005E6D03" w:rsidRDefault="005E6D03" w:rsidP="00092F84">
            <w:pPr>
              <w:pStyle w:val="Default"/>
              <w:spacing w:line="276" w:lineRule="auto"/>
              <w:jc w:val="both"/>
              <w:rPr>
                <w:b/>
                <w:sz w:val="22"/>
                <w:szCs w:val="22"/>
              </w:rPr>
            </w:pPr>
          </w:p>
          <w:p w14:paraId="52F491F0" w14:textId="3F0B5DED" w:rsidR="005E6D03" w:rsidRDefault="005E6D03" w:rsidP="00092F84">
            <w:pPr>
              <w:pStyle w:val="Default"/>
              <w:spacing w:line="276" w:lineRule="auto"/>
              <w:jc w:val="both"/>
              <w:rPr>
                <w:sz w:val="22"/>
                <w:szCs w:val="22"/>
              </w:rPr>
            </w:pPr>
            <w:r w:rsidRPr="005E6D03">
              <w:rPr>
                <w:b/>
                <w:sz w:val="22"/>
                <w:szCs w:val="22"/>
              </w:rPr>
              <w:t>Recommendation 2:</w:t>
            </w:r>
            <w:r>
              <w:rPr>
                <w:sz w:val="22"/>
                <w:szCs w:val="22"/>
              </w:rPr>
              <w:t xml:space="preserve"> Remove</w:t>
            </w:r>
            <w:r w:rsidRPr="005E6D03">
              <w:rPr>
                <w:sz w:val="22"/>
                <w:szCs w:val="22"/>
              </w:rPr>
              <w:t xml:space="preserve"> </w:t>
            </w:r>
            <w:r>
              <w:rPr>
                <w:sz w:val="22"/>
                <w:szCs w:val="22"/>
              </w:rPr>
              <w:t xml:space="preserve">the distinction between consumer leases for household goods and other consumer leases. </w:t>
            </w:r>
          </w:p>
          <w:p w14:paraId="5041AE5A" w14:textId="3DC89478" w:rsidR="005E6D03" w:rsidRDefault="005E6D03" w:rsidP="00092F84">
            <w:pPr>
              <w:pStyle w:val="Default"/>
              <w:spacing w:line="276" w:lineRule="auto"/>
              <w:jc w:val="both"/>
              <w:rPr>
                <w:sz w:val="22"/>
                <w:szCs w:val="22"/>
              </w:rPr>
            </w:pPr>
          </w:p>
        </w:tc>
      </w:tr>
    </w:tbl>
    <w:p w14:paraId="098156BF" w14:textId="2205E030" w:rsidR="005E6D03" w:rsidRDefault="005E6D03" w:rsidP="00092F84">
      <w:pPr>
        <w:pStyle w:val="Default"/>
        <w:spacing w:line="276" w:lineRule="auto"/>
        <w:jc w:val="both"/>
        <w:rPr>
          <w:sz w:val="22"/>
          <w:szCs w:val="22"/>
        </w:rPr>
      </w:pPr>
    </w:p>
    <w:p w14:paraId="56765459" w14:textId="5259D54C" w:rsidR="005E6D03" w:rsidRDefault="00766000" w:rsidP="00092F84">
      <w:pPr>
        <w:pStyle w:val="Default"/>
        <w:spacing w:line="276" w:lineRule="auto"/>
        <w:jc w:val="both"/>
        <w:rPr>
          <w:b/>
          <w:sz w:val="22"/>
          <w:szCs w:val="22"/>
        </w:rPr>
      </w:pPr>
      <w:r>
        <w:rPr>
          <w:b/>
          <w:sz w:val="22"/>
          <w:szCs w:val="22"/>
        </w:rPr>
        <w:t>Items</w:t>
      </w:r>
      <w:r w:rsidR="005E6D03">
        <w:rPr>
          <w:b/>
          <w:sz w:val="22"/>
          <w:szCs w:val="22"/>
        </w:rPr>
        <w:t xml:space="preserve"> 10 and 22 – Unsolicited SACC invitations</w:t>
      </w:r>
      <w:r w:rsidR="005E6D03">
        <w:rPr>
          <w:rStyle w:val="FootnoteReference"/>
          <w:b/>
          <w:sz w:val="22"/>
          <w:szCs w:val="22"/>
        </w:rPr>
        <w:footnoteReference w:id="22"/>
      </w:r>
    </w:p>
    <w:p w14:paraId="0E47BE88" w14:textId="26A980D9" w:rsidR="005E6D03" w:rsidRDefault="005E6D03" w:rsidP="00092F84">
      <w:pPr>
        <w:pStyle w:val="Default"/>
        <w:spacing w:line="276" w:lineRule="auto"/>
        <w:jc w:val="both"/>
        <w:rPr>
          <w:b/>
          <w:sz w:val="22"/>
          <w:szCs w:val="22"/>
        </w:rPr>
      </w:pPr>
    </w:p>
    <w:p w14:paraId="4FC0BBD4" w14:textId="5C4CA66A" w:rsidR="005E6D03" w:rsidRPr="0075415E" w:rsidRDefault="007D21F4" w:rsidP="00092F84">
      <w:pPr>
        <w:pStyle w:val="Default"/>
        <w:spacing w:line="276" w:lineRule="auto"/>
        <w:jc w:val="both"/>
        <w:rPr>
          <w:sz w:val="22"/>
          <w:szCs w:val="22"/>
        </w:rPr>
      </w:pPr>
      <w:r w:rsidRPr="0075415E">
        <w:rPr>
          <w:sz w:val="22"/>
          <w:szCs w:val="22"/>
        </w:rPr>
        <w:t>Items 10 and 22 would prohibit</w:t>
      </w:r>
      <w:r w:rsidR="005E6D03" w:rsidRPr="0075415E">
        <w:rPr>
          <w:sz w:val="22"/>
          <w:szCs w:val="22"/>
        </w:rPr>
        <w:t xml:space="preserve"> SACC providers and credit assistance providers from making an unsolicited SACC invitation to a cur</w:t>
      </w:r>
      <w:r w:rsidRPr="0075415E">
        <w:rPr>
          <w:sz w:val="22"/>
          <w:szCs w:val="22"/>
        </w:rPr>
        <w:t>rent customer, or a customer who has had a SACC within the last two y</w:t>
      </w:r>
      <w:r w:rsidR="00424684">
        <w:rPr>
          <w:sz w:val="22"/>
          <w:szCs w:val="22"/>
        </w:rPr>
        <w:t>ears. The provisions do</w:t>
      </w:r>
      <w:r w:rsidRPr="0075415E">
        <w:rPr>
          <w:sz w:val="22"/>
          <w:szCs w:val="22"/>
        </w:rPr>
        <w:t xml:space="preserve"> not prohibit third parties generally (other than credit licensees) from making unsolicited invitations, but a SACC provider is exposed to losing its charges </w:t>
      </w:r>
      <w:r w:rsidR="00424684">
        <w:rPr>
          <w:sz w:val="22"/>
          <w:szCs w:val="22"/>
        </w:rPr>
        <w:t>if it</w:t>
      </w:r>
      <w:r w:rsidRPr="0075415E">
        <w:rPr>
          <w:sz w:val="22"/>
          <w:szCs w:val="22"/>
        </w:rPr>
        <w:t xml:space="preserve"> enters into a SACC with the recipient of such a communication.</w:t>
      </w:r>
    </w:p>
    <w:p w14:paraId="30FB2774" w14:textId="7020ECA7" w:rsidR="007D21F4" w:rsidRPr="0075415E" w:rsidRDefault="007D21F4" w:rsidP="00092F84">
      <w:pPr>
        <w:pStyle w:val="Default"/>
        <w:spacing w:line="276" w:lineRule="auto"/>
        <w:jc w:val="both"/>
        <w:rPr>
          <w:sz w:val="22"/>
          <w:szCs w:val="22"/>
        </w:rPr>
      </w:pPr>
    </w:p>
    <w:p w14:paraId="3A23A6C6" w14:textId="14E92269" w:rsidR="007D21F4" w:rsidRPr="00504214" w:rsidRDefault="007D21F4" w:rsidP="00092F84">
      <w:pPr>
        <w:spacing w:line="276" w:lineRule="auto"/>
        <w:jc w:val="both"/>
        <w:rPr>
          <w:rFonts w:ascii="Arial" w:hAnsi="Arial" w:cs="Arial"/>
          <w:sz w:val="22"/>
          <w:szCs w:val="22"/>
        </w:rPr>
      </w:pPr>
      <w:r w:rsidRPr="0075415E">
        <w:rPr>
          <w:rFonts w:ascii="Arial" w:hAnsi="Arial" w:cs="Arial"/>
          <w:sz w:val="22"/>
          <w:szCs w:val="22"/>
        </w:rPr>
        <w:t xml:space="preserve">However, a credit licensee would only breach these provisions if they </w:t>
      </w:r>
      <w:r w:rsidR="00424684" w:rsidRPr="00D821F0">
        <w:rPr>
          <w:rFonts w:ascii="Arial" w:hAnsi="Arial" w:cs="Arial"/>
          <w:i/>
          <w:sz w:val="22"/>
          <w:szCs w:val="22"/>
        </w:rPr>
        <w:t>knew</w:t>
      </w:r>
      <w:r w:rsidR="00424684">
        <w:rPr>
          <w:rFonts w:ascii="Arial" w:hAnsi="Arial" w:cs="Arial"/>
          <w:sz w:val="22"/>
          <w:szCs w:val="22"/>
        </w:rPr>
        <w:t xml:space="preserve"> the person had received an unsolicited invitation</w:t>
      </w:r>
      <w:r w:rsidRPr="0075415E">
        <w:rPr>
          <w:rFonts w:ascii="Arial" w:hAnsi="Arial" w:cs="Arial"/>
          <w:sz w:val="22"/>
          <w:szCs w:val="22"/>
        </w:rPr>
        <w:t>. We anticipate the proving knowledge of a credit licensee for the purposes of these provisions would be very difficult.</w:t>
      </w:r>
      <w:r w:rsidR="00766902" w:rsidRPr="0075415E">
        <w:rPr>
          <w:rFonts w:ascii="Arial" w:hAnsi="Arial" w:cs="Arial"/>
          <w:sz w:val="22"/>
          <w:szCs w:val="22"/>
        </w:rPr>
        <w:t xml:space="preserve"> In addition, requiring proof of knowledge is inherently inconsistent with </w:t>
      </w:r>
      <w:r w:rsidR="00D03C17">
        <w:rPr>
          <w:rFonts w:ascii="Arial" w:hAnsi="Arial" w:cs="Arial"/>
          <w:sz w:val="22"/>
          <w:szCs w:val="22"/>
        </w:rPr>
        <w:t>the provision’s</w:t>
      </w:r>
      <w:r w:rsidR="00424684">
        <w:rPr>
          <w:rFonts w:ascii="Arial" w:hAnsi="Arial" w:cs="Arial"/>
          <w:sz w:val="22"/>
          <w:szCs w:val="22"/>
        </w:rPr>
        <w:t xml:space="preserve"> </w:t>
      </w:r>
      <w:r w:rsidR="00766902" w:rsidRPr="0075415E">
        <w:rPr>
          <w:rFonts w:ascii="Arial" w:hAnsi="Arial" w:cs="Arial"/>
          <w:sz w:val="22"/>
          <w:szCs w:val="22"/>
        </w:rPr>
        <w:t>classification as a strict liability offence. Offences o</w:t>
      </w:r>
      <w:r w:rsidR="00424684">
        <w:rPr>
          <w:rFonts w:ascii="Arial" w:hAnsi="Arial" w:cs="Arial"/>
          <w:sz w:val="22"/>
          <w:szCs w:val="22"/>
        </w:rPr>
        <w:t xml:space="preserve">f strict or absolute liability </w:t>
      </w:r>
      <w:r w:rsidR="00766902" w:rsidRPr="0075415E">
        <w:rPr>
          <w:rFonts w:ascii="Arial" w:hAnsi="Arial" w:cs="Arial"/>
          <w:sz w:val="22"/>
          <w:szCs w:val="22"/>
        </w:rPr>
        <w:t>do not require proof of fault elements (such as knowledge)</w:t>
      </w:r>
      <w:r w:rsidR="00424684">
        <w:rPr>
          <w:rFonts w:ascii="Arial" w:hAnsi="Arial" w:cs="Arial"/>
          <w:sz w:val="22"/>
          <w:szCs w:val="22"/>
        </w:rPr>
        <w:t xml:space="preserve"> and</w:t>
      </w:r>
      <w:r w:rsidR="0075415E" w:rsidRPr="0075415E">
        <w:rPr>
          <w:rFonts w:ascii="Arial" w:hAnsi="Arial" w:cs="Arial"/>
          <w:sz w:val="22"/>
          <w:szCs w:val="22"/>
        </w:rPr>
        <w:t xml:space="preserve"> </w:t>
      </w:r>
      <w:r w:rsidR="00766902" w:rsidRPr="0075415E">
        <w:rPr>
          <w:rFonts w:ascii="Arial" w:hAnsi="Arial" w:cs="Arial"/>
          <w:sz w:val="22"/>
          <w:szCs w:val="22"/>
        </w:rPr>
        <w:t xml:space="preserve">consist of physical elements </w:t>
      </w:r>
      <w:r w:rsidR="00424684">
        <w:rPr>
          <w:rFonts w:ascii="Arial" w:hAnsi="Arial" w:cs="Arial"/>
          <w:sz w:val="22"/>
          <w:szCs w:val="22"/>
        </w:rPr>
        <w:t>only</w:t>
      </w:r>
      <w:r w:rsidR="00766902" w:rsidRPr="0075415E">
        <w:rPr>
          <w:rFonts w:ascii="Arial" w:hAnsi="Arial" w:cs="Arial"/>
          <w:sz w:val="22"/>
          <w:szCs w:val="22"/>
        </w:rPr>
        <w:t>.</w:t>
      </w:r>
      <w:r w:rsidR="00766902" w:rsidRPr="0075415E">
        <w:rPr>
          <w:rStyle w:val="FootnoteReference"/>
          <w:rFonts w:ascii="Arial" w:hAnsi="Arial" w:cs="Arial"/>
          <w:sz w:val="22"/>
          <w:szCs w:val="22"/>
        </w:rPr>
        <w:footnoteReference w:id="23"/>
      </w:r>
      <w:r w:rsidR="00766902" w:rsidRPr="0075415E">
        <w:rPr>
          <w:rFonts w:ascii="Arial" w:hAnsi="Arial" w:cs="Arial"/>
          <w:sz w:val="22"/>
          <w:szCs w:val="22"/>
        </w:rPr>
        <w:t xml:space="preserve"> In our view, </w:t>
      </w:r>
      <w:r w:rsidRPr="0075415E">
        <w:rPr>
          <w:rFonts w:ascii="Arial" w:hAnsi="Arial" w:cs="Arial"/>
          <w:sz w:val="22"/>
          <w:szCs w:val="22"/>
        </w:rPr>
        <w:t>the provisions set an unreasonably high evidenti</w:t>
      </w:r>
      <w:r w:rsidR="00766902" w:rsidRPr="0075415E">
        <w:rPr>
          <w:rFonts w:ascii="Arial" w:hAnsi="Arial" w:cs="Arial"/>
          <w:sz w:val="22"/>
          <w:szCs w:val="22"/>
        </w:rPr>
        <w:t xml:space="preserve">al barrier, and are logically inconsistent with </w:t>
      </w:r>
      <w:r w:rsidR="0075415E" w:rsidRPr="0075415E">
        <w:rPr>
          <w:rFonts w:ascii="Arial" w:hAnsi="Arial" w:cs="Arial"/>
          <w:sz w:val="22"/>
          <w:szCs w:val="22"/>
        </w:rPr>
        <w:t>the classification of these provisions as</w:t>
      </w:r>
      <w:r w:rsidR="00766902" w:rsidRPr="0075415E">
        <w:rPr>
          <w:rFonts w:ascii="Arial" w:hAnsi="Arial" w:cs="Arial"/>
          <w:sz w:val="22"/>
          <w:szCs w:val="22"/>
        </w:rPr>
        <w:t xml:space="preserve"> strict liability </w:t>
      </w:r>
      <w:r w:rsidR="0075415E" w:rsidRPr="0075415E">
        <w:rPr>
          <w:rFonts w:ascii="Arial" w:hAnsi="Arial" w:cs="Arial"/>
          <w:sz w:val="22"/>
          <w:szCs w:val="22"/>
        </w:rPr>
        <w:t>offences</w:t>
      </w:r>
      <w:r w:rsidR="00766902" w:rsidRPr="0075415E">
        <w:rPr>
          <w:rFonts w:ascii="Arial" w:hAnsi="Arial" w:cs="Arial"/>
          <w:sz w:val="22"/>
          <w:szCs w:val="22"/>
        </w:rPr>
        <w:t xml:space="preserve">. We </w:t>
      </w:r>
      <w:r w:rsidR="0075415E" w:rsidRPr="0075415E">
        <w:rPr>
          <w:rFonts w:ascii="Arial" w:hAnsi="Arial" w:cs="Arial"/>
          <w:sz w:val="22"/>
          <w:szCs w:val="22"/>
        </w:rPr>
        <w:t xml:space="preserve">therefore </w:t>
      </w:r>
      <w:r w:rsidR="00766902" w:rsidRPr="0075415E">
        <w:rPr>
          <w:rFonts w:ascii="Arial" w:hAnsi="Arial" w:cs="Arial"/>
          <w:sz w:val="22"/>
          <w:szCs w:val="22"/>
        </w:rPr>
        <w:t>recommend amending</w:t>
      </w:r>
      <w:r w:rsidRPr="0075415E">
        <w:rPr>
          <w:rFonts w:ascii="Arial" w:hAnsi="Arial" w:cs="Arial"/>
          <w:sz w:val="22"/>
          <w:szCs w:val="22"/>
        </w:rPr>
        <w:t xml:space="preserve"> Items 10 and 22 to </w:t>
      </w:r>
      <w:r w:rsidR="00766902" w:rsidRPr="0075415E">
        <w:rPr>
          <w:rFonts w:ascii="Arial" w:hAnsi="Arial" w:cs="Arial"/>
          <w:sz w:val="22"/>
          <w:szCs w:val="22"/>
        </w:rPr>
        <w:t>remove the knowledge</w:t>
      </w:r>
      <w:r w:rsidR="00DD56B1">
        <w:rPr>
          <w:rFonts w:ascii="Arial" w:hAnsi="Arial" w:cs="Arial"/>
          <w:sz w:val="22"/>
          <w:szCs w:val="22"/>
        </w:rPr>
        <w:t xml:space="preserve"> element</w:t>
      </w:r>
      <w:r w:rsidR="00766902" w:rsidRPr="0075415E">
        <w:rPr>
          <w:rFonts w:ascii="Arial" w:hAnsi="Arial" w:cs="Arial"/>
          <w:sz w:val="22"/>
          <w:szCs w:val="22"/>
        </w:rPr>
        <w:t xml:space="preserve">. </w:t>
      </w:r>
    </w:p>
    <w:p w14:paraId="48FA80A2" w14:textId="54E3E161" w:rsidR="0075415E" w:rsidRPr="0075415E" w:rsidRDefault="0075415E" w:rsidP="00092F84">
      <w:pPr>
        <w:spacing w:line="276" w:lineRule="auto"/>
        <w:jc w:val="both"/>
        <w:rPr>
          <w:rFonts w:ascii="Arial" w:hAnsi="Arial" w:cs="Arial"/>
          <w:sz w:val="22"/>
          <w:szCs w:val="22"/>
        </w:rPr>
      </w:pPr>
    </w:p>
    <w:p w14:paraId="454A38E1" w14:textId="4ED9C499" w:rsidR="0075415E" w:rsidRPr="0075415E" w:rsidRDefault="0075415E" w:rsidP="00092F84">
      <w:pPr>
        <w:spacing w:line="276" w:lineRule="auto"/>
        <w:jc w:val="both"/>
        <w:rPr>
          <w:rFonts w:ascii="Arial" w:hAnsi="Arial" w:cs="Arial"/>
          <w:sz w:val="22"/>
          <w:szCs w:val="22"/>
        </w:rPr>
      </w:pPr>
      <w:r>
        <w:rPr>
          <w:rFonts w:ascii="Arial" w:hAnsi="Arial" w:cs="Arial"/>
          <w:sz w:val="22"/>
          <w:szCs w:val="22"/>
        </w:rPr>
        <w:t xml:space="preserve">The Bill also limits the prohibition on </w:t>
      </w:r>
      <w:r w:rsidRPr="0075415E">
        <w:rPr>
          <w:rFonts w:ascii="Arial" w:hAnsi="Arial" w:cs="Arial"/>
          <w:sz w:val="22"/>
          <w:szCs w:val="22"/>
        </w:rPr>
        <w:t>making an unsolicited SACC invitation to current customer</w:t>
      </w:r>
      <w:r>
        <w:rPr>
          <w:rFonts w:ascii="Arial" w:hAnsi="Arial" w:cs="Arial"/>
          <w:sz w:val="22"/>
          <w:szCs w:val="22"/>
        </w:rPr>
        <w:t>s</w:t>
      </w:r>
      <w:r w:rsidRPr="0075415E">
        <w:rPr>
          <w:rFonts w:ascii="Arial" w:hAnsi="Arial" w:cs="Arial"/>
          <w:sz w:val="22"/>
          <w:szCs w:val="22"/>
        </w:rPr>
        <w:t>, or customer</w:t>
      </w:r>
      <w:r>
        <w:rPr>
          <w:rFonts w:ascii="Arial" w:hAnsi="Arial" w:cs="Arial"/>
          <w:sz w:val="22"/>
          <w:szCs w:val="22"/>
        </w:rPr>
        <w:t>s</w:t>
      </w:r>
      <w:r w:rsidRPr="0075415E">
        <w:rPr>
          <w:rFonts w:ascii="Arial" w:hAnsi="Arial" w:cs="Arial"/>
          <w:sz w:val="22"/>
          <w:szCs w:val="22"/>
        </w:rPr>
        <w:t xml:space="preserve"> who ha</w:t>
      </w:r>
      <w:r>
        <w:rPr>
          <w:rFonts w:ascii="Arial" w:hAnsi="Arial" w:cs="Arial"/>
          <w:sz w:val="22"/>
          <w:szCs w:val="22"/>
        </w:rPr>
        <w:t>ve</w:t>
      </w:r>
      <w:r w:rsidRPr="0075415E">
        <w:rPr>
          <w:rFonts w:ascii="Arial" w:hAnsi="Arial" w:cs="Arial"/>
          <w:sz w:val="22"/>
          <w:szCs w:val="22"/>
        </w:rPr>
        <w:t xml:space="preserve"> had a SACC within the last two years.</w:t>
      </w:r>
      <w:r>
        <w:rPr>
          <w:rFonts w:ascii="Arial" w:hAnsi="Arial" w:cs="Arial"/>
          <w:sz w:val="22"/>
          <w:szCs w:val="22"/>
        </w:rPr>
        <w:t xml:space="preserve"> This two-year </w:t>
      </w:r>
      <w:r>
        <w:rPr>
          <w:rFonts w:ascii="Arial" w:hAnsi="Arial" w:cs="Arial"/>
          <w:sz w:val="22"/>
          <w:szCs w:val="22"/>
        </w:rPr>
        <w:lastRenderedPageBreak/>
        <w:t xml:space="preserve">limitation was not recommended by the Review Panel, nor did it form part of the Government’s formal response. This limitation is also inconsistent with </w:t>
      </w:r>
      <w:r w:rsidR="00424684">
        <w:rPr>
          <w:rFonts w:ascii="Arial" w:hAnsi="Arial" w:cs="Arial"/>
          <w:sz w:val="22"/>
          <w:szCs w:val="22"/>
        </w:rPr>
        <w:t>the total prohibition on</w:t>
      </w:r>
      <w:r w:rsidR="00E13671">
        <w:rPr>
          <w:rFonts w:ascii="Arial" w:hAnsi="Arial" w:cs="Arial"/>
          <w:sz w:val="22"/>
          <w:szCs w:val="22"/>
        </w:rPr>
        <w:t xml:space="preserve"> the</w:t>
      </w:r>
      <w:r w:rsidR="00424684">
        <w:rPr>
          <w:rFonts w:ascii="Arial" w:hAnsi="Arial" w:cs="Arial"/>
          <w:sz w:val="22"/>
          <w:szCs w:val="22"/>
        </w:rPr>
        <w:t xml:space="preserve"> unsolicited selling of financial products</w:t>
      </w:r>
      <w:r>
        <w:rPr>
          <w:rStyle w:val="FootnoteReference"/>
          <w:rFonts w:ascii="Arial" w:hAnsi="Arial" w:cs="Arial"/>
          <w:sz w:val="22"/>
          <w:szCs w:val="22"/>
        </w:rPr>
        <w:footnoteReference w:id="24"/>
      </w:r>
      <w:r w:rsidR="00D03C17">
        <w:rPr>
          <w:rFonts w:ascii="Arial" w:hAnsi="Arial" w:cs="Arial"/>
          <w:sz w:val="22"/>
          <w:szCs w:val="22"/>
        </w:rPr>
        <w:t xml:space="preserve"> and the proposed prohibition on unsolicited credit card limit invitations.</w:t>
      </w:r>
      <w:r w:rsidR="0072698D">
        <w:rPr>
          <w:rStyle w:val="FootnoteReference"/>
          <w:rFonts w:ascii="Arial" w:hAnsi="Arial" w:cs="Arial"/>
          <w:sz w:val="22"/>
          <w:szCs w:val="22"/>
        </w:rPr>
        <w:footnoteReference w:id="25"/>
      </w:r>
    </w:p>
    <w:p w14:paraId="2A10E22E" w14:textId="6DEF20DF" w:rsidR="00766902" w:rsidRPr="0075415E" w:rsidRDefault="00766902" w:rsidP="00092F84">
      <w:pPr>
        <w:pStyle w:val="Default"/>
        <w:spacing w:line="276" w:lineRule="auto"/>
        <w:jc w:val="both"/>
        <w:rPr>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346"/>
      </w:tblGrid>
      <w:tr w:rsidR="00766902" w:rsidRPr="0075415E" w14:paraId="315CF6F9" w14:textId="77777777" w:rsidTr="0075415E">
        <w:tc>
          <w:tcPr>
            <w:tcW w:w="9346" w:type="dxa"/>
            <w:shd w:val="clear" w:color="auto" w:fill="D9D9D9" w:themeFill="background1" w:themeFillShade="D9"/>
          </w:tcPr>
          <w:p w14:paraId="3C84A43F" w14:textId="77777777" w:rsidR="0075415E" w:rsidRDefault="0075415E" w:rsidP="00092F84">
            <w:pPr>
              <w:pStyle w:val="Default"/>
              <w:spacing w:line="276" w:lineRule="auto"/>
              <w:jc w:val="both"/>
              <w:rPr>
                <w:b/>
                <w:sz w:val="22"/>
                <w:szCs w:val="22"/>
              </w:rPr>
            </w:pPr>
          </w:p>
          <w:p w14:paraId="41274254" w14:textId="22815553" w:rsidR="00766902" w:rsidRPr="0075415E" w:rsidRDefault="00766902" w:rsidP="00092F84">
            <w:pPr>
              <w:pStyle w:val="Default"/>
              <w:spacing w:line="276" w:lineRule="auto"/>
              <w:jc w:val="both"/>
              <w:rPr>
                <w:sz w:val="22"/>
                <w:szCs w:val="22"/>
              </w:rPr>
            </w:pPr>
            <w:r w:rsidRPr="0075415E">
              <w:rPr>
                <w:b/>
                <w:sz w:val="22"/>
                <w:szCs w:val="22"/>
              </w:rPr>
              <w:t>Recommendation 3:</w:t>
            </w:r>
            <w:r w:rsidRPr="0075415E">
              <w:rPr>
                <w:sz w:val="22"/>
                <w:szCs w:val="22"/>
              </w:rPr>
              <w:t xml:space="preserve"> Amend Items 10 and 22</w:t>
            </w:r>
            <w:r w:rsidR="00424684">
              <w:rPr>
                <w:sz w:val="22"/>
                <w:szCs w:val="22"/>
              </w:rPr>
              <w:t xml:space="preserve"> (ss 124C(5)(a) and </w:t>
            </w:r>
            <w:r w:rsidR="00E13671">
              <w:rPr>
                <w:sz w:val="22"/>
                <w:szCs w:val="22"/>
              </w:rPr>
              <w:t>133CF</w:t>
            </w:r>
            <w:r w:rsidR="00424684">
              <w:rPr>
                <w:sz w:val="22"/>
                <w:szCs w:val="22"/>
              </w:rPr>
              <w:t>(</w:t>
            </w:r>
            <w:r w:rsidR="00E13671">
              <w:rPr>
                <w:sz w:val="22"/>
                <w:szCs w:val="22"/>
              </w:rPr>
              <w:t>5)(a</w:t>
            </w:r>
            <w:r w:rsidR="00424684">
              <w:rPr>
                <w:sz w:val="22"/>
                <w:szCs w:val="22"/>
              </w:rPr>
              <w:t>))</w:t>
            </w:r>
            <w:r w:rsidRPr="0075415E">
              <w:rPr>
                <w:sz w:val="22"/>
                <w:szCs w:val="22"/>
              </w:rPr>
              <w:t xml:space="preserve"> to </w:t>
            </w:r>
            <w:r w:rsidR="0075415E" w:rsidRPr="0075415E">
              <w:rPr>
                <w:sz w:val="22"/>
                <w:szCs w:val="22"/>
              </w:rPr>
              <w:t>remove the knowledge requirement</w:t>
            </w:r>
            <w:r w:rsidR="0075415E">
              <w:rPr>
                <w:sz w:val="22"/>
                <w:szCs w:val="22"/>
              </w:rPr>
              <w:t>, which adds an unnecessary fault element to the strict liability offence for making an unsolicited SACC invitation</w:t>
            </w:r>
            <w:r w:rsidR="0075415E" w:rsidRPr="0075415E">
              <w:rPr>
                <w:sz w:val="22"/>
                <w:szCs w:val="22"/>
              </w:rPr>
              <w:t xml:space="preserve">. </w:t>
            </w:r>
          </w:p>
          <w:p w14:paraId="5F1A9C72" w14:textId="38F2CBE6" w:rsidR="0075415E" w:rsidRDefault="0075415E" w:rsidP="00092F84">
            <w:pPr>
              <w:pStyle w:val="Default"/>
              <w:spacing w:line="276" w:lineRule="auto"/>
              <w:jc w:val="both"/>
              <w:rPr>
                <w:sz w:val="22"/>
                <w:szCs w:val="22"/>
              </w:rPr>
            </w:pPr>
          </w:p>
          <w:p w14:paraId="55851590" w14:textId="37585DB6" w:rsidR="0075415E" w:rsidRPr="0075415E" w:rsidRDefault="0075415E" w:rsidP="00092F84">
            <w:pPr>
              <w:pStyle w:val="Default"/>
              <w:spacing w:line="276" w:lineRule="auto"/>
              <w:jc w:val="both"/>
              <w:rPr>
                <w:sz w:val="22"/>
                <w:szCs w:val="22"/>
              </w:rPr>
            </w:pPr>
            <w:r w:rsidRPr="0075415E">
              <w:rPr>
                <w:b/>
                <w:sz w:val="22"/>
                <w:szCs w:val="22"/>
              </w:rPr>
              <w:t xml:space="preserve">Recommendation 4: </w:t>
            </w:r>
            <w:r w:rsidR="00E13671">
              <w:rPr>
                <w:sz w:val="22"/>
                <w:szCs w:val="22"/>
              </w:rPr>
              <w:t>A</w:t>
            </w:r>
            <w:r w:rsidRPr="0075415E">
              <w:rPr>
                <w:sz w:val="22"/>
                <w:szCs w:val="22"/>
              </w:rPr>
              <w:t xml:space="preserve">pply the prohibition </w:t>
            </w:r>
            <w:r>
              <w:rPr>
                <w:sz w:val="22"/>
                <w:szCs w:val="22"/>
              </w:rPr>
              <w:t xml:space="preserve">on </w:t>
            </w:r>
            <w:r w:rsidRPr="0075415E">
              <w:rPr>
                <w:sz w:val="22"/>
                <w:szCs w:val="22"/>
              </w:rPr>
              <w:t>unsolicited SACC invitation</w:t>
            </w:r>
            <w:r>
              <w:rPr>
                <w:sz w:val="22"/>
                <w:szCs w:val="22"/>
              </w:rPr>
              <w:t>s</w:t>
            </w:r>
            <w:r w:rsidRPr="0075415E">
              <w:rPr>
                <w:sz w:val="22"/>
                <w:szCs w:val="22"/>
              </w:rPr>
              <w:t xml:space="preserve"> to all </w:t>
            </w:r>
            <w:r w:rsidR="00E13671">
              <w:rPr>
                <w:sz w:val="22"/>
                <w:szCs w:val="22"/>
              </w:rPr>
              <w:t xml:space="preserve">consumers. </w:t>
            </w:r>
            <w:r w:rsidR="00DD56B1">
              <w:rPr>
                <w:sz w:val="22"/>
                <w:szCs w:val="22"/>
              </w:rPr>
              <w:t>At a minimum</w:t>
            </w:r>
            <w:r w:rsidR="00E13671">
              <w:rPr>
                <w:sz w:val="22"/>
                <w:szCs w:val="22"/>
              </w:rPr>
              <w:t xml:space="preserve">, the prohibition should apply to all </w:t>
            </w:r>
            <w:r w:rsidRPr="0075415E">
              <w:rPr>
                <w:sz w:val="22"/>
                <w:szCs w:val="22"/>
              </w:rPr>
              <w:t xml:space="preserve">current and previous SACC customers. </w:t>
            </w:r>
          </w:p>
          <w:p w14:paraId="383A585F" w14:textId="625E84D4" w:rsidR="0075415E" w:rsidRPr="0075415E" w:rsidRDefault="0075415E" w:rsidP="00092F84">
            <w:pPr>
              <w:pStyle w:val="Default"/>
              <w:spacing w:line="276" w:lineRule="auto"/>
              <w:jc w:val="both"/>
              <w:rPr>
                <w:sz w:val="22"/>
                <w:szCs w:val="22"/>
              </w:rPr>
            </w:pPr>
          </w:p>
        </w:tc>
      </w:tr>
    </w:tbl>
    <w:p w14:paraId="09CD0B84" w14:textId="77777777" w:rsidR="00766902" w:rsidRPr="00BA026A" w:rsidRDefault="00766902" w:rsidP="00092F84">
      <w:pPr>
        <w:pStyle w:val="Default"/>
        <w:spacing w:line="276" w:lineRule="auto"/>
        <w:jc w:val="both"/>
        <w:rPr>
          <w:sz w:val="22"/>
          <w:szCs w:val="22"/>
        </w:rPr>
      </w:pPr>
    </w:p>
    <w:p w14:paraId="2D84ED8D" w14:textId="05DA87BD" w:rsidR="00232EBD" w:rsidRPr="00BA026A" w:rsidRDefault="00034AE6" w:rsidP="00092F84">
      <w:pPr>
        <w:spacing w:line="276" w:lineRule="auto"/>
        <w:jc w:val="both"/>
        <w:rPr>
          <w:rFonts w:ascii="Arial" w:hAnsi="Arial" w:cs="Arial"/>
          <w:b/>
          <w:sz w:val="22"/>
          <w:szCs w:val="22"/>
        </w:rPr>
      </w:pPr>
      <w:r w:rsidRPr="00BA026A">
        <w:rPr>
          <w:rFonts w:ascii="Arial" w:hAnsi="Arial" w:cs="Arial"/>
          <w:b/>
          <w:sz w:val="22"/>
          <w:szCs w:val="22"/>
        </w:rPr>
        <w:t xml:space="preserve">Items </w:t>
      </w:r>
      <w:r w:rsidR="00B149AD" w:rsidRPr="00BA026A">
        <w:rPr>
          <w:rFonts w:ascii="Arial" w:hAnsi="Arial" w:cs="Arial"/>
          <w:b/>
          <w:sz w:val="22"/>
          <w:szCs w:val="22"/>
        </w:rPr>
        <w:t xml:space="preserve">6, 14, 27 and 33 – </w:t>
      </w:r>
      <w:r w:rsidR="00766000">
        <w:rPr>
          <w:rFonts w:ascii="Arial" w:hAnsi="Arial" w:cs="Arial"/>
          <w:b/>
          <w:sz w:val="22"/>
          <w:szCs w:val="22"/>
        </w:rPr>
        <w:t>P</w:t>
      </w:r>
      <w:r w:rsidR="00B149AD" w:rsidRPr="00BA026A">
        <w:rPr>
          <w:rFonts w:ascii="Arial" w:hAnsi="Arial" w:cs="Arial"/>
          <w:b/>
          <w:sz w:val="22"/>
          <w:szCs w:val="22"/>
        </w:rPr>
        <w:t>roviding assessments electronically</w:t>
      </w:r>
      <w:r w:rsidR="00B149AD" w:rsidRPr="00BA026A">
        <w:rPr>
          <w:rStyle w:val="FootnoteReference"/>
          <w:rFonts w:ascii="Arial" w:hAnsi="Arial" w:cs="Arial"/>
          <w:b/>
          <w:sz w:val="22"/>
          <w:szCs w:val="22"/>
        </w:rPr>
        <w:footnoteReference w:id="26"/>
      </w:r>
    </w:p>
    <w:p w14:paraId="09142192" w14:textId="5D30C918" w:rsidR="00B149AD" w:rsidRPr="00BA026A" w:rsidRDefault="00B149AD" w:rsidP="00092F84">
      <w:pPr>
        <w:spacing w:line="276" w:lineRule="auto"/>
        <w:jc w:val="both"/>
        <w:rPr>
          <w:rFonts w:ascii="Arial" w:hAnsi="Arial" w:cs="Arial"/>
          <w:sz w:val="22"/>
          <w:szCs w:val="22"/>
        </w:rPr>
      </w:pPr>
    </w:p>
    <w:p w14:paraId="4E0FFCC1" w14:textId="42B812BE" w:rsidR="00BA026A" w:rsidRPr="00BA026A" w:rsidRDefault="00BA026A" w:rsidP="2156E3F7">
      <w:pPr>
        <w:spacing w:line="276" w:lineRule="auto"/>
        <w:jc w:val="both"/>
        <w:rPr>
          <w:rFonts w:ascii="Arial" w:hAnsi="Arial" w:cs="Arial"/>
          <w:sz w:val="22"/>
          <w:szCs w:val="22"/>
        </w:rPr>
      </w:pPr>
      <w:r w:rsidRPr="00BA026A">
        <w:rPr>
          <w:rFonts w:ascii="Arial" w:hAnsi="Arial" w:cs="Arial"/>
          <w:sz w:val="22"/>
          <w:szCs w:val="22"/>
        </w:rPr>
        <w:t xml:space="preserve">The Bill clarifies that licensees can provide suitability assessments electronically in accordance with the </w:t>
      </w:r>
      <w:r w:rsidRPr="2156E3F7">
        <w:rPr>
          <w:rFonts w:ascii="Arial" w:hAnsi="Arial" w:cs="Arial"/>
          <w:i/>
          <w:iCs/>
          <w:sz w:val="22"/>
          <w:szCs w:val="22"/>
        </w:rPr>
        <w:t>Electronic Transactions Act</w:t>
      </w:r>
      <w:r w:rsidR="004D0ED5" w:rsidRPr="2156E3F7">
        <w:rPr>
          <w:rFonts w:ascii="Arial" w:hAnsi="Arial" w:cs="Arial"/>
          <w:i/>
          <w:iCs/>
          <w:sz w:val="22"/>
          <w:szCs w:val="22"/>
        </w:rPr>
        <w:t xml:space="preserve"> 1999 </w:t>
      </w:r>
      <w:r w:rsidR="004D0ED5">
        <w:rPr>
          <w:rFonts w:ascii="Arial" w:hAnsi="Arial" w:cs="Arial"/>
          <w:sz w:val="22"/>
          <w:szCs w:val="22"/>
        </w:rPr>
        <w:t>(Cth)</w:t>
      </w:r>
      <w:r w:rsidRPr="2156E3F7">
        <w:rPr>
          <w:rFonts w:ascii="Arial" w:hAnsi="Arial" w:cs="Arial"/>
          <w:i/>
          <w:iCs/>
          <w:sz w:val="22"/>
          <w:szCs w:val="22"/>
        </w:rPr>
        <w:t xml:space="preserve">. </w:t>
      </w:r>
      <w:r w:rsidRPr="00BA026A">
        <w:rPr>
          <w:rFonts w:ascii="Arial" w:hAnsi="Arial" w:cs="Arial"/>
          <w:sz w:val="22"/>
          <w:szCs w:val="22"/>
        </w:rPr>
        <w:t>While we support this clarification, we recommend suitability assessments only be provided by electronic means where the consumer has consented</w:t>
      </w:r>
      <w:r w:rsidR="00E9256F">
        <w:rPr>
          <w:rFonts w:ascii="Arial" w:hAnsi="Arial" w:cs="Arial"/>
          <w:sz w:val="22"/>
          <w:szCs w:val="22"/>
        </w:rPr>
        <w:t xml:space="preserve"> to receiving documents electronically</w:t>
      </w:r>
      <w:r w:rsidRPr="00BA026A">
        <w:rPr>
          <w:rFonts w:ascii="Arial" w:hAnsi="Arial" w:cs="Arial"/>
          <w:sz w:val="22"/>
          <w:szCs w:val="22"/>
        </w:rPr>
        <w:t>. There remains a significant proportion of the population who are not regularly connected to the internet, including financially vulnerable people, rural and regional Australians and seniors.</w:t>
      </w:r>
      <w:r w:rsidRPr="00BA026A">
        <w:rPr>
          <w:rStyle w:val="FootnoteReference"/>
          <w:rFonts w:ascii="Arial" w:hAnsi="Arial" w:cs="Arial"/>
          <w:sz w:val="22"/>
          <w:szCs w:val="22"/>
        </w:rPr>
        <w:footnoteReference w:id="27"/>
      </w:r>
      <w:r w:rsidRPr="00BA026A">
        <w:rPr>
          <w:rFonts w:ascii="Arial" w:hAnsi="Arial" w:cs="Arial"/>
          <w:sz w:val="22"/>
          <w:szCs w:val="22"/>
        </w:rPr>
        <w:t xml:space="preserve"> People should be able to access their relevant suitability assessments in the format that suits their needs – either in hard copy or electronically. </w:t>
      </w:r>
    </w:p>
    <w:p w14:paraId="643A6B61" w14:textId="19FCD81D" w:rsidR="00BA026A" w:rsidRPr="00BA026A" w:rsidRDefault="00BA026A" w:rsidP="00092F84">
      <w:pPr>
        <w:spacing w:line="276" w:lineRule="auto"/>
        <w:jc w:val="both"/>
        <w:rPr>
          <w:rFonts w:ascii="Arial" w:hAnsi="Arial" w:cs="Arial"/>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346"/>
      </w:tblGrid>
      <w:tr w:rsidR="00BA026A" w:rsidRPr="00BA026A" w14:paraId="3FEF7B18" w14:textId="77777777" w:rsidTr="2156E3F7">
        <w:tc>
          <w:tcPr>
            <w:tcW w:w="9346" w:type="dxa"/>
            <w:shd w:val="clear" w:color="auto" w:fill="D9D9D9" w:themeFill="background1" w:themeFillShade="D9"/>
          </w:tcPr>
          <w:p w14:paraId="6B5D46FA" w14:textId="77777777" w:rsidR="00BA026A" w:rsidRPr="00BA026A" w:rsidRDefault="00BA026A" w:rsidP="00092F84">
            <w:pPr>
              <w:spacing w:line="276" w:lineRule="auto"/>
              <w:jc w:val="both"/>
              <w:rPr>
                <w:rFonts w:ascii="Arial" w:hAnsi="Arial" w:cs="Arial"/>
                <w:sz w:val="22"/>
                <w:szCs w:val="22"/>
              </w:rPr>
            </w:pPr>
          </w:p>
          <w:p w14:paraId="3AF29AD8" w14:textId="0CF19FA8" w:rsidR="00BA026A" w:rsidRPr="00BA026A" w:rsidRDefault="2156E3F7" w:rsidP="2156E3F7">
            <w:pPr>
              <w:spacing w:line="276" w:lineRule="auto"/>
              <w:jc w:val="both"/>
              <w:rPr>
                <w:rFonts w:ascii="Arial" w:hAnsi="Arial" w:cs="Arial"/>
                <w:sz w:val="22"/>
                <w:szCs w:val="22"/>
              </w:rPr>
            </w:pPr>
            <w:r w:rsidRPr="2156E3F7">
              <w:rPr>
                <w:rFonts w:ascii="Arial" w:hAnsi="Arial" w:cs="Arial"/>
                <w:b/>
                <w:bCs/>
                <w:sz w:val="22"/>
                <w:szCs w:val="22"/>
              </w:rPr>
              <w:t>Recommendation 5:</w:t>
            </w:r>
            <w:r w:rsidRPr="2156E3F7">
              <w:rPr>
                <w:rFonts w:ascii="Arial" w:hAnsi="Arial" w:cs="Arial"/>
                <w:sz w:val="22"/>
                <w:szCs w:val="22"/>
              </w:rPr>
              <w:t xml:space="preserve"> Suitability assessments only be provided electronically if the </w:t>
            </w:r>
            <w:r w:rsidR="00DD56B1">
              <w:rPr>
                <w:rFonts w:ascii="Arial" w:hAnsi="Arial" w:cs="Arial"/>
                <w:sz w:val="22"/>
                <w:szCs w:val="22"/>
              </w:rPr>
              <w:t>borrower</w:t>
            </w:r>
            <w:r w:rsidRPr="2156E3F7">
              <w:rPr>
                <w:rFonts w:ascii="Arial" w:hAnsi="Arial" w:cs="Arial"/>
                <w:sz w:val="22"/>
                <w:szCs w:val="22"/>
              </w:rPr>
              <w:t xml:space="preserve"> has consented to receiving documents in this manner.</w:t>
            </w:r>
          </w:p>
          <w:p w14:paraId="5889F7AD" w14:textId="09F945AC" w:rsidR="00BA026A" w:rsidRPr="00BA026A" w:rsidRDefault="00BA026A" w:rsidP="00092F84">
            <w:pPr>
              <w:spacing w:line="276" w:lineRule="auto"/>
              <w:jc w:val="both"/>
              <w:rPr>
                <w:rFonts w:ascii="Arial" w:hAnsi="Arial" w:cs="Arial"/>
                <w:sz w:val="22"/>
                <w:szCs w:val="22"/>
              </w:rPr>
            </w:pPr>
          </w:p>
        </w:tc>
      </w:tr>
    </w:tbl>
    <w:p w14:paraId="13FB7F71" w14:textId="77777777" w:rsidR="00BA026A" w:rsidRPr="00BA026A" w:rsidRDefault="00BA026A" w:rsidP="00092F84">
      <w:pPr>
        <w:spacing w:line="276" w:lineRule="auto"/>
        <w:jc w:val="both"/>
        <w:rPr>
          <w:rFonts w:ascii="Arial" w:hAnsi="Arial" w:cs="Arial"/>
          <w:sz w:val="22"/>
          <w:szCs w:val="22"/>
        </w:rPr>
      </w:pPr>
    </w:p>
    <w:p w14:paraId="339F8B91" w14:textId="54C14A49" w:rsidR="00B149AD" w:rsidRPr="00C209C1" w:rsidRDefault="00C209C1" w:rsidP="00092F84">
      <w:pPr>
        <w:spacing w:line="276" w:lineRule="auto"/>
        <w:jc w:val="both"/>
        <w:rPr>
          <w:rFonts w:ascii="Arial" w:hAnsi="Arial" w:cs="Arial"/>
          <w:b/>
          <w:sz w:val="22"/>
          <w:szCs w:val="22"/>
        </w:rPr>
      </w:pPr>
      <w:r w:rsidRPr="00C209C1">
        <w:rPr>
          <w:rFonts w:ascii="Arial" w:hAnsi="Arial" w:cs="Arial"/>
          <w:b/>
          <w:sz w:val="22"/>
          <w:szCs w:val="22"/>
        </w:rPr>
        <w:t xml:space="preserve">Items 19, 21 and 34 – </w:t>
      </w:r>
      <w:r w:rsidR="00766000">
        <w:rPr>
          <w:rFonts w:ascii="Arial" w:hAnsi="Arial" w:cs="Arial"/>
          <w:b/>
          <w:sz w:val="22"/>
          <w:szCs w:val="22"/>
        </w:rPr>
        <w:t>P</w:t>
      </w:r>
      <w:r w:rsidRPr="00C209C1">
        <w:rPr>
          <w:rFonts w:ascii="Arial" w:hAnsi="Arial" w:cs="Arial"/>
          <w:b/>
          <w:sz w:val="22"/>
          <w:szCs w:val="22"/>
        </w:rPr>
        <w:t>rotected earnings amount</w:t>
      </w:r>
      <w:r>
        <w:rPr>
          <w:rStyle w:val="FootnoteReference"/>
          <w:rFonts w:ascii="Arial" w:hAnsi="Arial" w:cs="Arial"/>
          <w:b/>
          <w:sz w:val="22"/>
          <w:szCs w:val="22"/>
        </w:rPr>
        <w:footnoteReference w:id="28"/>
      </w:r>
    </w:p>
    <w:p w14:paraId="268A25C5" w14:textId="1297B085" w:rsidR="00C209C1" w:rsidRDefault="00C209C1" w:rsidP="00092F84">
      <w:pPr>
        <w:spacing w:line="276" w:lineRule="auto"/>
        <w:jc w:val="both"/>
        <w:rPr>
          <w:rFonts w:ascii="Arial" w:hAnsi="Arial" w:cs="Arial"/>
          <w:sz w:val="22"/>
          <w:szCs w:val="22"/>
        </w:rPr>
      </w:pPr>
    </w:p>
    <w:p w14:paraId="3E6F0589" w14:textId="665151DB" w:rsidR="00E9256F" w:rsidRDefault="001D7005" w:rsidP="00E9256F">
      <w:pPr>
        <w:spacing w:line="276" w:lineRule="auto"/>
        <w:ind w:right="-96"/>
        <w:jc w:val="both"/>
        <w:rPr>
          <w:rFonts w:ascii="Arial" w:hAnsi="Arial" w:cs="Arial"/>
          <w:sz w:val="22"/>
          <w:szCs w:val="22"/>
        </w:rPr>
      </w:pPr>
      <w:r>
        <w:rPr>
          <w:rFonts w:ascii="Arial" w:hAnsi="Arial" w:cs="Arial"/>
          <w:sz w:val="22"/>
          <w:szCs w:val="22"/>
        </w:rPr>
        <w:t xml:space="preserve">We strongly support the proposed protected earnings amount for payday loans and consumer leases, which would see repayments capped at 10% of a </w:t>
      </w:r>
      <w:r w:rsidR="00766000">
        <w:rPr>
          <w:rFonts w:ascii="Arial" w:hAnsi="Arial" w:cs="Arial"/>
          <w:sz w:val="22"/>
          <w:szCs w:val="22"/>
        </w:rPr>
        <w:t>person’s</w:t>
      </w:r>
      <w:r>
        <w:rPr>
          <w:rFonts w:ascii="Arial" w:hAnsi="Arial" w:cs="Arial"/>
          <w:sz w:val="22"/>
          <w:szCs w:val="22"/>
        </w:rPr>
        <w:t xml:space="preserve"> net income.</w:t>
      </w:r>
      <w:r w:rsidR="008B4404">
        <w:rPr>
          <w:rFonts w:ascii="Arial" w:hAnsi="Arial" w:cs="Arial"/>
          <w:sz w:val="22"/>
          <w:szCs w:val="22"/>
        </w:rPr>
        <w:t xml:space="preserve"> </w:t>
      </w:r>
      <w:r w:rsidR="00E9256F">
        <w:rPr>
          <w:rFonts w:ascii="Arial" w:hAnsi="Arial" w:cs="Arial"/>
          <w:sz w:val="22"/>
          <w:szCs w:val="22"/>
        </w:rPr>
        <w:t xml:space="preserve">The Bill amends the </w:t>
      </w:r>
      <w:r w:rsidR="00E9256F">
        <w:rPr>
          <w:rFonts w:ascii="Arial" w:hAnsi="Arial" w:cs="Arial"/>
          <w:i/>
          <w:sz w:val="22"/>
          <w:szCs w:val="22"/>
        </w:rPr>
        <w:t xml:space="preserve">National Consumer Credit Protection Act 2009 </w:t>
      </w:r>
      <w:r w:rsidR="00E9256F">
        <w:rPr>
          <w:rFonts w:ascii="Arial" w:hAnsi="Arial" w:cs="Arial"/>
          <w:sz w:val="22"/>
          <w:szCs w:val="22"/>
        </w:rPr>
        <w:t>(Cth) (</w:t>
      </w:r>
      <w:r w:rsidR="00E9256F" w:rsidRPr="008D12E3">
        <w:rPr>
          <w:rFonts w:ascii="Arial" w:hAnsi="Arial" w:cs="Arial"/>
          <w:b/>
          <w:sz w:val="22"/>
          <w:szCs w:val="22"/>
        </w:rPr>
        <w:t>the NCCP Act</w:t>
      </w:r>
      <w:r w:rsidR="00E9256F">
        <w:rPr>
          <w:rFonts w:ascii="Arial" w:hAnsi="Arial" w:cs="Arial"/>
          <w:sz w:val="22"/>
          <w:szCs w:val="22"/>
        </w:rPr>
        <w:t xml:space="preserve">) to remove the requirement for the protected earnings amounts to apply to a ‘class of persons’. This would clear the way for amendments to the </w:t>
      </w:r>
      <w:r w:rsidR="007D42D6" w:rsidRPr="007D42D6">
        <w:rPr>
          <w:rFonts w:ascii="Arial" w:hAnsi="Arial" w:cs="Arial"/>
          <w:i/>
          <w:sz w:val="22"/>
          <w:szCs w:val="22"/>
        </w:rPr>
        <w:t>National Consumer Credit Protection R</w:t>
      </w:r>
      <w:r w:rsidR="00E9256F" w:rsidRPr="007D42D6">
        <w:rPr>
          <w:rFonts w:ascii="Arial" w:hAnsi="Arial" w:cs="Arial"/>
          <w:i/>
          <w:sz w:val="22"/>
          <w:szCs w:val="22"/>
        </w:rPr>
        <w:t>egulations</w:t>
      </w:r>
      <w:r w:rsidR="007D42D6" w:rsidRPr="007D42D6">
        <w:rPr>
          <w:rFonts w:ascii="Arial" w:hAnsi="Arial" w:cs="Arial"/>
          <w:i/>
          <w:sz w:val="22"/>
          <w:szCs w:val="22"/>
        </w:rPr>
        <w:t xml:space="preserve"> 2010</w:t>
      </w:r>
      <w:r w:rsidR="007D42D6">
        <w:rPr>
          <w:rFonts w:ascii="Arial" w:hAnsi="Arial" w:cs="Arial"/>
          <w:sz w:val="22"/>
          <w:szCs w:val="22"/>
        </w:rPr>
        <w:t xml:space="preserve"> (</w:t>
      </w:r>
      <w:r w:rsidR="007D42D6" w:rsidRPr="00DD56B1">
        <w:rPr>
          <w:rFonts w:ascii="Arial" w:hAnsi="Arial" w:cs="Arial"/>
          <w:b/>
          <w:sz w:val="22"/>
          <w:szCs w:val="22"/>
        </w:rPr>
        <w:t>the Regulations</w:t>
      </w:r>
      <w:r w:rsidR="007D42D6">
        <w:rPr>
          <w:rFonts w:ascii="Arial" w:hAnsi="Arial" w:cs="Arial"/>
          <w:sz w:val="22"/>
          <w:szCs w:val="22"/>
        </w:rPr>
        <w:t>)</w:t>
      </w:r>
      <w:r w:rsidR="00E9256F">
        <w:rPr>
          <w:rFonts w:ascii="Arial" w:hAnsi="Arial" w:cs="Arial"/>
          <w:sz w:val="22"/>
          <w:szCs w:val="22"/>
        </w:rPr>
        <w:t xml:space="preserve"> that would implement the 10% protected earnings amount. We support these amendments in the Bill, but note that it is critical that the Regulations take effect at the same time as the Bill. </w:t>
      </w:r>
    </w:p>
    <w:p w14:paraId="3CD06296" w14:textId="77777777" w:rsidR="00E9256F" w:rsidRDefault="00E9256F" w:rsidP="00E9256F">
      <w:pPr>
        <w:spacing w:line="276" w:lineRule="auto"/>
        <w:jc w:val="both"/>
        <w:rPr>
          <w:rFonts w:ascii="Arial" w:hAnsi="Arial" w:cs="Arial"/>
          <w:sz w:val="22"/>
          <w:szCs w:val="22"/>
        </w:rPr>
      </w:pPr>
    </w:p>
    <w:p w14:paraId="4163EACF" w14:textId="69003799" w:rsidR="00E9256F" w:rsidRPr="008B4404" w:rsidRDefault="008B4404" w:rsidP="00E9256F">
      <w:pPr>
        <w:spacing w:line="276" w:lineRule="auto"/>
        <w:jc w:val="both"/>
        <w:rPr>
          <w:rFonts w:ascii="Arial" w:hAnsi="Arial" w:cs="Arial"/>
          <w:sz w:val="22"/>
          <w:szCs w:val="22"/>
        </w:rPr>
      </w:pPr>
      <w:r>
        <w:rPr>
          <w:rFonts w:ascii="Arial" w:hAnsi="Arial" w:cs="Arial"/>
          <w:sz w:val="22"/>
          <w:szCs w:val="22"/>
        </w:rPr>
        <w:lastRenderedPageBreak/>
        <w:t>This</w:t>
      </w:r>
      <w:r w:rsidR="00E9256F">
        <w:rPr>
          <w:rFonts w:ascii="Arial" w:hAnsi="Arial" w:cs="Arial"/>
          <w:sz w:val="22"/>
          <w:szCs w:val="22"/>
        </w:rPr>
        <w:t xml:space="preserve"> reform </w:t>
      </w:r>
      <w:r w:rsidR="00766000">
        <w:rPr>
          <w:rFonts w:ascii="Arial" w:hAnsi="Arial" w:cs="Arial"/>
          <w:sz w:val="22"/>
          <w:szCs w:val="22"/>
        </w:rPr>
        <w:t>will ensure that people</w:t>
      </w:r>
      <w:r>
        <w:rPr>
          <w:rFonts w:ascii="Arial" w:hAnsi="Arial" w:cs="Arial"/>
          <w:sz w:val="22"/>
          <w:szCs w:val="22"/>
        </w:rPr>
        <w:t xml:space="preserve"> who use payday loans and consumer leases</w:t>
      </w:r>
      <w:r w:rsidR="00766000">
        <w:rPr>
          <w:rFonts w:ascii="Arial" w:hAnsi="Arial" w:cs="Arial"/>
          <w:sz w:val="22"/>
          <w:szCs w:val="22"/>
        </w:rPr>
        <w:t xml:space="preserve"> are not overcommitting their income to these harmful products</w:t>
      </w:r>
      <w:r w:rsidR="00E9256F">
        <w:rPr>
          <w:rFonts w:ascii="Arial" w:hAnsi="Arial" w:cs="Arial"/>
          <w:sz w:val="22"/>
          <w:szCs w:val="22"/>
        </w:rPr>
        <w:t>, and have more money available for everyday expenses</w:t>
      </w:r>
      <w:r>
        <w:rPr>
          <w:rFonts w:ascii="Arial" w:hAnsi="Arial" w:cs="Arial"/>
          <w:sz w:val="22"/>
          <w:szCs w:val="22"/>
        </w:rPr>
        <w:t xml:space="preserve">. </w:t>
      </w:r>
      <w:r w:rsidR="00E9256F">
        <w:rPr>
          <w:rFonts w:ascii="Arial" w:hAnsi="Arial" w:cs="Arial"/>
          <w:iCs/>
          <w:sz w:val="22"/>
          <w:szCs w:val="22"/>
        </w:rPr>
        <w:t>The graph below demonstrates the positive impact the new protected earnings provisions would have on family household budgets:</w:t>
      </w:r>
      <w:r w:rsidR="00E9256F" w:rsidRPr="00232EBD">
        <w:rPr>
          <w:rStyle w:val="FootnoteReference"/>
          <w:rFonts w:ascii="Arial" w:hAnsi="Arial" w:cs="Arial"/>
          <w:iCs/>
          <w:sz w:val="22"/>
          <w:szCs w:val="22"/>
        </w:rPr>
        <w:footnoteReference w:id="29"/>
      </w:r>
    </w:p>
    <w:p w14:paraId="189BE2A4" w14:textId="11651E5E" w:rsidR="008B4404" w:rsidRDefault="008B4404" w:rsidP="00E9256F">
      <w:pPr>
        <w:tabs>
          <w:tab w:val="left" w:pos="6237"/>
        </w:tabs>
        <w:spacing w:line="276" w:lineRule="auto"/>
        <w:jc w:val="both"/>
        <w:rPr>
          <w:rFonts w:ascii="Arial" w:hAnsi="Arial" w:cs="Arial"/>
          <w:sz w:val="22"/>
          <w:szCs w:val="22"/>
        </w:rPr>
      </w:pPr>
    </w:p>
    <w:p w14:paraId="19EC0EEC" w14:textId="601FCE29" w:rsidR="008B4404" w:rsidRDefault="00E9256F" w:rsidP="00092F84">
      <w:pPr>
        <w:spacing w:line="276" w:lineRule="auto"/>
        <w:jc w:val="both"/>
        <w:rPr>
          <w:rFonts w:ascii="Arial" w:hAnsi="Arial" w:cs="Arial"/>
          <w:sz w:val="22"/>
          <w:szCs w:val="22"/>
        </w:rPr>
      </w:pPr>
      <w:r w:rsidRPr="00232EBD">
        <w:rPr>
          <w:rFonts w:ascii="Arial" w:hAnsi="Arial" w:cs="Arial"/>
          <w:noProof/>
          <w:sz w:val="22"/>
          <w:szCs w:val="22"/>
        </w:rPr>
        <w:drawing>
          <wp:inline distT="0" distB="0" distL="0" distR="0" wp14:anchorId="3F34E059" wp14:editId="01EB7C68">
            <wp:extent cx="5743575" cy="2998694"/>
            <wp:effectExtent l="0" t="0" r="9525"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3961F9D" w14:textId="77777777" w:rsidR="00E9256F" w:rsidRDefault="00E9256F" w:rsidP="00092F84">
      <w:pPr>
        <w:spacing w:line="276" w:lineRule="auto"/>
        <w:jc w:val="both"/>
        <w:rPr>
          <w:rFonts w:ascii="Arial" w:hAnsi="Arial" w:cs="Arial"/>
          <w:sz w:val="22"/>
          <w:szCs w:val="22"/>
        </w:rPr>
      </w:pPr>
    </w:p>
    <w:p w14:paraId="4D2D1B3F" w14:textId="783C4472" w:rsidR="00531A59" w:rsidRPr="00232EBD" w:rsidRDefault="00E9256F" w:rsidP="2156E3F7">
      <w:pPr>
        <w:spacing w:line="276" w:lineRule="auto"/>
        <w:jc w:val="both"/>
        <w:rPr>
          <w:rFonts w:ascii="Arial" w:hAnsi="Arial" w:cs="Arial"/>
          <w:sz w:val="22"/>
          <w:szCs w:val="22"/>
        </w:rPr>
      </w:pPr>
      <w:r>
        <w:rPr>
          <w:rFonts w:ascii="Arial" w:hAnsi="Arial" w:cs="Arial"/>
          <w:sz w:val="22"/>
          <w:szCs w:val="22"/>
        </w:rPr>
        <w:t>The new protected earnings amount</w:t>
      </w:r>
      <w:r w:rsidR="008B4404">
        <w:rPr>
          <w:rFonts w:ascii="Arial" w:hAnsi="Arial" w:cs="Arial"/>
          <w:sz w:val="22"/>
          <w:szCs w:val="22"/>
        </w:rPr>
        <w:t xml:space="preserve"> would apply to everyone, not just those receiving income from Centrelink. Given the significant increase in </w:t>
      </w:r>
      <w:r>
        <w:rPr>
          <w:rFonts w:ascii="Arial" w:hAnsi="Arial" w:cs="Arial"/>
          <w:sz w:val="22"/>
          <w:szCs w:val="22"/>
        </w:rPr>
        <w:t xml:space="preserve">the proportion of </w:t>
      </w:r>
      <w:r w:rsidR="008B4404">
        <w:rPr>
          <w:rFonts w:ascii="Arial" w:hAnsi="Arial" w:cs="Arial"/>
          <w:sz w:val="22"/>
          <w:szCs w:val="22"/>
        </w:rPr>
        <w:t>financially stressed Australians using payday loans, as opposed to the traditional target market of financially distressed people, we believe this expansion of the provision is timely and necessary.</w:t>
      </w:r>
      <w:r w:rsidR="008B4404">
        <w:rPr>
          <w:rStyle w:val="FootnoteReference"/>
          <w:rFonts w:ascii="Arial" w:hAnsi="Arial" w:cs="Arial"/>
          <w:sz w:val="22"/>
          <w:szCs w:val="22"/>
        </w:rPr>
        <w:footnoteReference w:id="30"/>
      </w:r>
      <w:r w:rsidR="001D7005">
        <w:rPr>
          <w:rFonts w:ascii="Arial" w:hAnsi="Arial" w:cs="Arial"/>
          <w:sz w:val="22"/>
          <w:szCs w:val="22"/>
        </w:rPr>
        <w:t xml:space="preserve"> </w:t>
      </w:r>
      <w:r w:rsidRPr="2156E3F7">
        <w:rPr>
          <w:rFonts w:ascii="Arial" w:hAnsi="Arial" w:cs="Arial"/>
          <w:sz w:val="22"/>
          <w:szCs w:val="22"/>
        </w:rPr>
        <w:t>Our casework experience shows that it is not just Centrelink recipients who are harmed by these products</w:t>
      </w:r>
      <w:r w:rsidR="00DD56B1">
        <w:rPr>
          <w:rFonts w:ascii="Arial" w:hAnsi="Arial" w:cs="Arial"/>
          <w:sz w:val="22"/>
          <w:szCs w:val="22"/>
        </w:rPr>
        <w:t>, as demonstrated by the case study below:</w:t>
      </w:r>
    </w:p>
    <w:p w14:paraId="0109DF87" w14:textId="3721D922" w:rsidR="00766000" w:rsidRDefault="00766000" w:rsidP="00092F84">
      <w:pPr>
        <w:spacing w:line="276" w:lineRule="auto"/>
        <w:ind w:right="-96"/>
        <w:jc w:val="both"/>
        <w:rPr>
          <w:rFonts w:ascii="Arial" w:hAnsi="Arial" w:cs="Arial"/>
          <w:sz w:val="22"/>
          <w:szCs w:val="22"/>
        </w:rPr>
      </w:pPr>
    </w:p>
    <w:tbl>
      <w:tblPr>
        <w:tblStyle w:val="TableGrid"/>
        <w:tblW w:w="0" w:type="auto"/>
        <w:shd w:val="clear" w:color="auto" w:fill="DAEEF3" w:themeFill="accent5" w:themeFillTint="33"/>
        <w:tblLook w:val="04A0" w:firstRow="1" w:lastRow="0" w:firstColumn="1" w:lastColumn="0" w:noHBand="0" w:noVBand="1"/>
      </w:tblPr>
      <w:tblGrid>
        <w:gridCol w:w="9346"/>
      </w:tblGrid>
      <w:tr w:rsidR="0068051E" w14:paraId="0FFFE5E0" w14:textId="77777777" w:rsidTr="00531A59">
        <w:tc>
          <w:tcPr>
            <w:tcW w:w="9346" w:type="dxa"/>
            <w:shd w:val="clear" w:color="auto" w:fill="DAEEF3" w:themeFill="accent5" w:themeFillTint="33"/>
          </w:tcPr>
          <w:p w14:paraId="1C03B4DA" w14:textId="77777777" w:rsidR="0068051E" w:rsidRDefault="0068051E" w:rsidP="00092F84">
            <w:pPr>
              <w:spacing w:line="276" w:lineRule="auto"/>
              <w:ind w:right="-96"/>
              <w:jc w:val="both"/>
              <w:rPr>
                <w:rFonts w:ascii="Arial" w:hAnsi="Arial" w:cs="Arial"/>
                <w:sz w:val="22"/>
                <w:szCs w:val="22"/>
              </w:rPr>
            </w:pPr>
          </w:p>
          <w:p w14:paraId="0806F97C" w14:textId="27BFC41D" w:rsidR="0068051E" w:rsidRPr="00531A59" w:rsidRDefault="0068051E" w:rsidP="00531A59">
            <w:pPr>
              <w:spacing w:line="276" w:lineRule="auto"/>
              <w:ind w:right="-96"/>
              <w:jc w:val="both"/>
              <w:rPr>
                <w:rFonts w:ascii="Arial" w:hAnsi="Arial" w:cs="Arial"/>
                <w:b/>
                <w:sz w:val="22"/>
                <w:szCs w:val="22"/>
              </w:rPr>
            </w:pPr>
            <w:bookmarkStart w:id="1" w:name="_Hlk497146626"/>
            <w:bookmarkStart w:id="2" w:name="_Hlk497470384"/>
            <w:r w:rsidRPr="00531A59">
              <w:rPr>
                <w:rFonts w:ascii="Arial" w:hAnsi="Arial" w:cs="Arial"/>
                <w:b/>
                <w:sz w:val="22"/>
                <w:szCs w:val="22"/>
              </w:rPr>
              <w:t>Philip’s story</w:t>
            </w:r>
          </w:p>
          <w:p w14:paraId="10492DCB" w14:textId="77777777" w:rsidR="0068051E" w:rsidRPr="00531A59" w:rsidRDefault="0068051E" w:rsidP="00531A59">
            <w:pPr>
              <w:spacing w:line="276" w:lineRule="auto"/>
              <w:ind w:right="-96"/>
              <w:jc w:val="both"/>
              <w:rPr>
                <w:rFonts w:ascii="Arial" w:hAnsi="Arial" w:cs="Arial"/>
                <w:sz w:val="22"/>
                <w:szCs w:val="22"/>
              </w:rPr>
            </w:pPr>
          </w:p>
          <w:p w14:paraId="30C8017B" w14:textId="2A903031" w:rsidR="0068051E" w:rsidRPr="00531A59" w:rsidRDefault="0068051E" w:rsidP="00531A59">
            <w:pPr>
              <w:spacing w:line="276" w:lineRule="auto"/>
              <w:jc w:val="both"/>
              <w:rPr>
                <w:rFonts w:ascii="Arial" w:hAnsi="Arial" w:cs="Arial"/>
                <w:sz w:val="22"/>
                <w:szCs w:val="22"/>
              </w:rPr>
            </w:pPr>
            <w:r w:rsidRPr="00531A59">
              <w:rPr>
                <w:rFonts w:ascii="Arial" w:hAnsi="Arial" w:cs="Arial"/>
                <w:sz w:val="22"/>
                <w:szCs w:val="22"/>
              </w:rPr>
              <w:t>Philip</w:t>
            </w:r>
            <w:r w:rsidR="00531A59">
              <w:rPr>
                <w:rFonts w:ascii="Arial" w:hAnsi="Arial" w:cs="Arial"/>
                <w:sz w:val="22"/>
                <w:szCs w:val="22"/>
              </w:rPr>
              <w:t xml:space="preserve"> (name changed)</w:t>
            </w:r>
            <w:r w:rsidRPr="00531A59">
              <w:rPr>
                <w:rFonts w:ascii="Arial" w:hAnsi="Arial" w:cs="Arial"/>
                <w:sz w:val="22"/>
                <w:szCs w:val="22"/>
              </w:rPr>
              <w:t xml:space="preserve"> has a gambling addiction, and has been using payday loans to pay</w:t>
            </w:r>
            <w:r w:rsidR="00E9256F">
              <w:rPr>
                <w:rFonts w:ascii="Arial" w:hAnsi="Arial" w:cs="Arial"/>
                <w:sz w:val="22"/>
                <w:szCs w:val="22"/>
              </w:rPr>
              <w:t xml:space="preserve"> his</w:t>
            </w:r>
            <w:r w:rsidRPr="00531A59">
              <w:rPr>
                <w:rFonts w:ascii="Arial" w:hAnsi="Arial" w:cs="Arial"/>
                <w:sz w:val="22"/>
                <w:szCs w:val="22"/>
              </w:rPr>
              <w:t xml:space="preserve"> bills and gamble. Philip has had a relationship breakdown </w:t>
            </w:r>
            <w:r w:rsidR="00531A59" w:rsidRPr="00531A59">
              <w:rPr>
                <w:rFonts w:ascii="Arial" w:hAnsi="Arial" w:cs="Arial"/>
                <w:sz w:val="22"/>
                <w:szCs w:val="22"/>
              </w:rPr>
              <w:t>because of</w:t>
            </w:r>
            <w:r w:rsidRPr="00531A59">
              <w:rPr>
                <w:rFonts w:ascii="Arial" w:hAnsi="Arial" w:cs="Arial"/>
                <w:sz w:val="22"/>
                <w:szCs w:val="22"/>
              </w:rPr>
              <w:t xml:space="preserve"> his gambling addiction. Philip can't control his impulse to gamble, even when it has negative consequences for him and his loved ones.</w:t>
            </w:r>
          </w:p>
          <w:p w14:paraId="58E40B84" w14:textId="4C359D02" w:rsidR="0068051E" w:rsidRPr="00531A59" w:rsidRDefault="0068051E" w:rsidP="00531A59">
            <w:pPr>
              <w:spacing w:line="276" w:lineRule="auto"/>
              <w:ind w:right="-96"/>
              <w:jc w:val="both"/>
              <w:rPr>
                <w:rFonts w:ascii="Arial" w:hAnsi="Arial" w:cs="Arial"/>
                <w:sz w:val="22"/>
                <w:szCs w:val="22"/>
              </w:rPr>
            </w:pPr>
          </w:p>
          <w:p w14:paraId="54C54315" w14:textId="5E358180" w:rsidR="0068051E" w:rsidRPr="00531A59" w:rsidRDefault="0068051E" w:rsidP="00531A59">
            <w:pPr>
              <w:spacing w:line="276" w:lineRule="auto"/>
              <w:jc w:val="both"/>
              <w:rPr>
                <w:rFonts w:ascii="Arial" w:hAnsi="Arial" w:cs="Arial"/>
                <w:sz w:val="22"/>
                <w:szCs w:val="22"/>
              </w:rPr>
            </w:pPr>
            <w:r w:rsidRPr="00531A59">
              <w:rPr>
                <w:rFonts w:ascii="Arial" w:hAnsi="Arial" w:cs="Arial"/>
                <w:sz w:val="22"/>
                <w:szCs w:val="22"/>
              </w:rPr>
              <w:t>Philip has paid more than $3</w:t>
            </w:r>
            <w:r w:rsidR="00531A59" w:rsidRPr="00531A59">
              <w:rPr>
                <w:rFonts w:ascii="Arial" w:hAnsi="Arial" w:cs="Arial"/>
                <w:sz w:val="22"/>
                <w:szCs w:val="22"/>
              </w:rPr>
              <w:t>1,000 in payday loan repayments</w:t>
            </w:r>
            <w:r w:rsidRPr="00531A59">
              <w:rPr>
                <w:rFonts w:ascii="Arial" w:hAnsi="Arial" w:cs="Arial"/>
                <w:sz w:val="22"/>
                <w:szCs w:val="22"/>
              </w:rPr>
              <w:t xml:space="preserve"> after taking out a total of 42 loans in a year. At any point in time, Philip had between 10 and</w:t>
            </w:r>
            <w:r w:rsidR="00531A59" w:rsidRPr="00531A59">
              <w:rPr>
                <w:rFonts w:ascii="Arial" w:hAnsi="Arial" w:cs="Arial"/>
                <w:sz w:val="22"/>
                <w:szCs w:val="22"/>
              </w:rPr>
              <w:t xml:space="preserve"> </w:t>
            </w:r>
            <w:r w:rsidRPr="00531A59">
              <w:rPr>
                <w:rFonts w:ascii="Arial" w:hAnsi="Arial" w:cs="Arial"/>
                <w:sz w:val="22"/>
                <w:szCs w:val="22"/>
              </w:rPr>
              <w:t xml:space="preserve">17 payday loans within the last 90 days. </w:t>
            </w:r>
          </w:p>
          <w:p w14:paraId="1EE7D8CE" w14:textId="1BBC60F2" w:rsidR="0068051E" w:rsidRPr="00531A59" w:rsidRDefault="0068051E" w:rsidP="00531A59">
            <w:pPr>
              <w:spacing w:line="276" w:lineRule="auto"/>
              <w:jc w:val="both"/>
              <w:rPr>
                <w:rFonts w:ascii="Arial" w:hAnsi="Arial" w:cs="Arial"/>
                <w:sz w:val="22"/>
                <w:szCs w:val="22"/>
              </w:rPr>
            </w:pPr>
          </w:p>
          <w:p w14:paraId="4192ED00" w14:textId="7EB220C8" w:rsidR="00531A59" w:rsidRPr="006F3E84" w:rsidRDefault="0068051E" w:rsidP="00531A59">
            <w:pPr>
              <w:spacing w:line="276" w:lineRule="auto"/>
              <w:jc w:val="both"/>
              <w:rPr>
                <w:rFonts w:ascii="Arial" w:hAnsi="Arial" w:cs="Arial"/>
                <w:sz w:val="22"/>
                <w:szCs w:val="22"/>
              </w:rPr>
            </w:pPr>
            <w:r w:rsidRPr="00531A59">
              <w:rPr>
                <w:rFonts w:ascii="Arial" w:hAnsi="Arial" w:cs="Arial"/>
                <w:sz w:val="22"/>
                <w:szCs w:val="22"/>
              </w:rPr>
              <w:t xml:space="preserve">Philip’s net income is approximately $4354 per month. The average payday loans provided to </w:t>
            </w:r>
            <w:r w:rsidRPr="006F3E84">
              <w:rPr>
                <w:rFonts w:ascii="Arial" w:hAnsi="Arial" w:cs="Arial"/>
                <w:sz w:val="22"/>
                <w:szCs w:val="22"/>
              </w:rPr>
              <w:t>him between 10 October 2016 to 10 October 2017 was a little more than 50% of his gross income</w:t>
            </w:r>
            <w:r w:rsidR="00531A59" w:rsidRPr="006F3E84">
              <w:rPr>
                <w:rFonts w:ascii="Arial" w:hAnsi="Arial" w:cs="Arial"/>
                <w:sz w:val="22"/>
                <w:szCs w:val="22"/>
              </w:rPr>
              <w:t xml:space="preserve">. </w:t>
            </w:r>
            <w:bookmarkEnd w:id="1"/>
            <w:r w:rsidR="00E9256F">
              <w:rPr>
                <w:rFonts w:ascii="Arial" w:hAnsi="Arial" w:cs="Arial"/>
                <w:sz w:val="22"/>
                <w:szCs w:val="22"/>
              </w:rPr>
              <w:t xml:space="preserve">Philip’s financial counsellor estimates that he spent over 70% of the borrowed funds on gambling. </w:t>
            </w:r>
          </w:p>
          <w:p w14:paraId="5957D81F" w14:textId="4AC175C7" w:rsidR="006F3E84" w:rsidRPr="006F3E84" w:rsidRDefault="006F3E84" w:rsidP="00531A59">
            <w:pPr>
              <w:spacing w:line="276" w:lineRule="auto"/>
              <w:jc w:val="both"/>
              <w:rPr>
                <w:rFonts w:ascii="Arial" w:hAnsi="Arial" w:cs="Arial"/>
                <w:sz w:val="22"/>
                <w:szCs w:val="22"/>
              </w:rPr>
            </w:pPr>
          </w:p>
          <w:p w14:paraId="538A31AC" w14:textId="77777777" w:rsidR="00773951" w:rsidRDefault="006F3E84" w:rsidP="00531A59">
            <w:pPr>
              <w:spacing w:line="276" w:lineRule="auto"/>
              <w:jc w:val="both"/>
              <w:rPr>
                <w:rFonts w:ascii="Arial" w:hAnsi="Arial" w:cs="Arial"/>
                <w:i/>
                <w:sz w:val="22"/>
                <w:szCs w:val="22"/>
              </w:rPr>
            </w:pPr>
            <w:r>
              <w:rPr>
                <w:rFonts w:ascii="Arial" w:hAnsi="Arial" w:cs="Arial"/>
                <w:i/>
                <w:sz w:val="22"/>
                <w:szCs w:val="22"/>
              </w:rPr>
              <w:t>Case study p</w:t>
            </w:r>
            <w:r w:rsidRPr="006F3E84">
              <w:rPr>
                <w:rFonts w:ascii="Arial" w:hAnsi="Arial" w:cs="Arial"/>
                <w:i/>
                <w:sz w:val="22"/>
                <w:szCs w:val="22"/>
              </w:rPr>
              <w:t xml:space="preserve">rovided by a </w:t>
            </w:r>
            <w:r w:rsidR="00D02699">
              <w:rPr>
                <w:rFonts w:ascii="Arial" w:hAnsi="Arial" w:cs="Arial"/>
                <w:i/>
                <w:sz w:val="22"/>
                <w:szCs w:val="22"/>
              </w:rPr>
              <w:t xml:space="preserve">Salvation Army financial counselling service </w:t>
            </w:r>
            <w:r w:rsidRPr="006F3E84">
              <w:rPr>
                <w:rFonts w:ascii="Arial" w:hAnsi="Arial" w:cs="Arial"/>
                <w:i/>
                <w:sz w:val="22"/>
                <w:szCs w:val="22"/>
              </w:rPr>
              <w:t>in Victoria</w:t>
            </w:r>
            <w:r>
              <w:rPr>
                <w:rFonts w:ascii="Arial" w:hAnsi="Arial" w:cs="Arial"/>
                <w:i/>
                <w:sz w:val="22"/>
                <w:szCs w:val="22"/>
              </w:rPr>
              <w:t>.</w:t>
            </w:r>
            <w:bookmarkEnd w:id="2"/>
          </w:p>
          <w:p w14:paraId="2C749835" w14:textId="1E198183" w:rsidR="00DF0D9D" w:rsidRPr="00DF0D9D" w:rsidRDefault="00DF0D9D" w:rsidP="00531A59">
            <w:pPr>
              <w:spacing w:line="276" w:lineRule="auto"/>
              <w:jc w:val="both"/>
              <w:rPr>
                <w:rFonts w:ascii="Arial" w:hAnsi="Arial" w:cs="Arial"/>
                <w:i/>
                <w:sz w:val="22"/>
                <w:szCs w:val="22"/>
              </w:rPr>
            </w:pPr>
          </w:p>
        </w:tc>
      </w:tr>
    </w:tbl>
    <w:p w14:paraId="26D40A18" w14:textId="6DDDB9F3" w:rsidR="002F7874" w:rsidRDefault="008B418D" w:rsidP="00092F84">
      <w:pPr>
        <w:spacing w:line="276" w:lineRule="auto"/>
        <w:ind w:right="-96"/>
        <w:jc w:val="both"/>
        <w:rPr>
          <w:rFonts w:ascii="Arial" w:hAnsi="Arial" w:cs="Arial"/>
          <w:sz w:val="22"/>
          <w:szCs w:val="22"/>
        </w:rPr>
      </w:pPr>
      <w:r>
        <w:rPr>
          <w:rFonts w:ascii="Arial" w:hAnsi="Arial" w:cs="Arial"/>
          <w:sz w:val="22"/>
          <w:szCs w:val="22"/>
        </w:rPr>
        <w:lastRenderedPageBreak/>
        <w:t>The Review recommendation</w:t>
      </w:r>
      <w:r w:rsidR="008B4404">
        <w:rPr>
          <w:rFonts w:ascii="Arial" w:hAnsi="Arial" w:cs="Arial"/>
          <w:sz w:val="22"/>
          <w:szCs w:val="22"/>
        </w:rPr>
        <w:t xml:space="preserve"> to remove the presumptions of unsuitability</w:t>
      </w:r>
      <w:r w:rsidR="00DD56B1">
        <w:rPr>
          <w:rStyle w:val="FootnoteReference"/>
          <w:rFonts w:ascii="Arial" w:hAnsi="Arial" w:cs="Arial"/>
          <w:sz w:val="22"/>
          <w:szCs w:val="22"/>
        </w:rPr>
        <w:footnoteReference w:id="31"/>
      </w:r>
      <w:r w:rsidR="00DF41AC">
        <w:rPr>
          <w:rFonts w:ascii="Arial" w:hAnsi="Arial" w:cs="Arial"/>
          <w:sz w:val="22"/>
          <w:szCs w:val="22"/>
        </w:rPr>
        <w:t xml:space="preserve"> was conditional on the concurrent introduction of the 10% protected earnings amount.</w:t>
      </w:r>
      <w:r>
        <w:rPr>
          <w:rStyle w:val="FootnoteReference"/>
          <w:rFonts w:ascii="Arial" w:hAnsi="Arial" w:cs="Arial"/>
          <w:sz w:val="22"/>
          <w:szCs w:val="22"/>
        </w:rPr>
        <w:footnoteReference w:id="32"/>
      </w:r>
      <w:r w:rsidR="00DF41AC">
        <w:rPr>
          <w:rFonts w:ascii="Arial" w:hAnsi="Arial" w:cs="Arial"/>
          <w:sz w:val="22"/>
          <w:szCs w:val="22"/>
        </w:rPr>
        <w:t xml:space="preserve"> </w:t>
      </w:r>
      <w:r w:rsidR="00E9256F">
        <w:rPr>
          <w:rFonts w:ascii="Arial" w:hAnsi="Arial" w:cs="Arial"/>
          <w:sz w:val="22"/>
          <w:szCs w:val="22"/>
        </w:rPr>
        <w:t>We therefore recommend that c</w:t>
      </w:r>
      <w:r w:rsidR="00236E07">
        <w:rPr>
          <w:rFonts w:ascii="Arial" w:hAnsi="Arial" w:cs="Arial"/>
          <w:sz w:val="22"/>
          <w:szCs w:val="22"/>
        </w:rPr>
        <w:t xml:space="preserve">onsultation on the Regulations be limited to consideration of technical amendments to avoid delays </w:t>
      </w:r>
      <w:r w:rsidR="00DD56B1">
        <w:rPr>
          <w:rFonts w:ascii="Arial" w:hAnsi="Arial" w:cs="Arial"/>
          <w:sz w:val="22"/>
          <w:szCs w:val="22"/>
        </w:rPr>
        <w:t>to implementation</w:t>
      </w:r>
      <w:r w:rsidR="00236E07">
        <w:rPr>
          <w:rFonts w:ascii="Arial" w:hAnsi="Arial" w:cs="Arial"/>
          <w:sz w:val="22"/>
          <w:szCs w:val="22"/>
        </w:rPr>
        <w:t xml:space="preserve">. Broader consultation about the </w:t>
      </w:r>
      <w:r w:rsidR="00E9256F">
        <w:rPr>
          <w:rFonts w:ascii="Arial" w:hAnsi="Arial" w:cs="Arial"/>
          <w:sz w:val="22"/>
          <w:szCs w:val="22"/>
        </w:rPr>
        <w:t>necessity</w:t>
      </w:r>
      <w:r w:rsidR="00236E07">
        <w:rPr>
          <w:rFonts w:ascii="Arial" w:hAnsi="Arial" w:cs="Arial"/>
          <w:sz w:val="22"/>
          <w:szCs w:val="22"/>
        </w:rPr>
        <w:t xml:space="preserve"> of a protected earnings amount is unnecessary, as thorough consultation about this recommendation has already been undertaken.</w:t>
      </w:r>
    </w:p>
    <w:p w14:paraId="66A1872C" w14:textId="10C08B68" w:rsidR="00236E07" w:rsidRDefault="00236E07" w:rsidP="00092F84">
      <w:pPr>
        <w:spacing w:line="276" w:lineRule="auto"/>
        <w:ind w:right="-96"/>
        <w:jc w:val="both"/>
        <w:rPr>
          <w:rFonts w:ascii="Arial" w:hAnsi="Arial" w:cs="Arial"/>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346"/>
      </w:tblGrid>
      <w:tr w:rsidR="00236E07" w14:paraId="168E1371" w14:textId="77777777" w:rsidTr="2156E3F7">
        <w:tc>
          <w:tcPr>
            <w:tcW w:w="9346" w:type="dxa"/>
            <w:shd w:val="clear" w:color="auto" w:fill="D9D9D9" w:themeFill="background1" w:themeFillShade="D9"/>
          </w:tcPr>
          <w:p w14:paraId="54B32EF7" w14:textId="77777777" w:rsidR="00236E07" w:rsidRDefault="00236E07" w:rsidP="00092F84">
            <w:pPr>
              <w:spacing w:line="276" w:lineRule="auto"/>
              <w:ind w:right="-96"/>
              <w:jc w:val="both"/>
              <w:rPr>
                <w:rFonts w:ascii="Arial" w:hAnsi="Arial" w:cs="Arial"/>
                <w:sz w:val="22"/>
                <w:szCs w:val="22"/>
              </w:rPr>
            </w:pPr>
          </w:p>
          <w:p w14:paraId="23C016FB" w14:textId="77777777" w:rsidR="00236E07" w:rsidRDefault="00236E07" w:rsidP="00092F84">
            <w:pPr>
              <w:spacing w:line="276" w:lineRule="auto"/>
              <w:ind w:right="27"/>
              <w:jc w:val="both"/>
              <w:rPr>
                <w:rFonts w:ascii="Arial" w:hAnsi="Arial" w:cs="Arial"/>
                <w:sz w:val="22"/>
                <w:szCs w:val="22"/>
              </w:rPr>
            </w:pPr>
            <w:r w:rsidRPr="00236E07">
              <w:rPr>
                <w:rFonts w:ascii="Arial" w:hAnsi="Arial" w:cs="Arial"/>
                <w:b/>
                <w:sz w:val="22"/>
                <w:szCs w:val="22"/>
              </w:rPr>
              <w:t>Recommendation 6:</w:t>
            </w:r>
            <w:r>
              <w:rPr>
                <w:rFonts w:ascii="Arial" w:hAnsi="Arial" w:cs="Arial"/>
                <w:sz w:val="22"/>
                <w:szCs w:val="22"/>
              </w:rPr>
              <w:t xml:space="preserve"> Ensure the 10% protected earnings amount in the Regulations take effect at the same time as the Bill.</w:t>
            </w:r>
          </w:p>
          <w:p w14:paraId="565BD81C" w14:textId="77777777" w:rsidR="00236E07" w:rsidRDefault="00236E07" w:rsidP="00092F84">
            <w:pPr>
              <w:spacing w:line="276" w:lineRule="auto"/>
              <w:ind w:right="27"/>
              <w:jc w:val="both"/>
              <w:rPr>
                <w:rFonts w:ascii="Arial" w:hAnsi="Arial" w:cs="Arial"/>
                <w:sz w:val="22"/>
                <w:szCs w:val="22"/>
              </w:rPr>
            </w:pPr>
          </w:p>
          <w:p w14:paraId="7889D5A1" w14:textId="729DA630" w:rsidR="00236E07" w:rsidRDefault="2156E3F7" w:rsidP="2156E3F7">
            <w:pPr>
              <w:spacing w:line="276" w:lineRule="auto"/>
              <w:ind w:right="27"/>
              <w:jc w:val="both"/>
              <w:rPr>
                <w:rFonts w:ascii="Arial" w:hAnsi="Arial" w:cs="Arial"/>
                <w:sz w:val="22"/>
                <w:szCs w:val="22"/>
              </w:rPr>
            </w:pPr>
            <w:r w:rsidRPr="2156E3F7">
              <w:rPr>
                <w:rFonts w:ascii="Arial" w:hAnsi="Arial" w:cs="Arial"/>
                <w:b/>
                <w:bCs/>
                <w:sz w:val="22"/>
                <w:szCs w:val="22"/>
              </w:rPr>
              <w:t xml:space="preserve">Recommendation 7: </w:t>
            </w:r>
            <w:r w:rsidRPr="2156E3F7">
              <w:rPr>
                <w:rFonts w:ascii="Arial" w:hAnsi="Arial" w:cs="Arial"/>
                <w:sz w:val="22"/>
                <w:szCs w:val="22"/>
              </w:rPr>
              <w:t>Consultation on the Regulations be limited to consideration of technical amendments only.</w:t>
            </w:r>
          </w:p>
          <w:p w14:paraId="17E3BB1D" w14:textId="7F33928B" w:rsidR="00236E07" w:rsidRPr="00236E07" w:rsidRDefault="00236E07" w:rsidP="00092F84">
            <w:pPr>
              <w:spacing w:line="276" w:lineRule="auto"/>
              <w:ind w:right="-96"/>
              <w:jc w:val="both"/>
              <w:rPr>
                <w:rFonts w:ascii="Arial" w:hAnsi="Arial" w:cs="Arial"/>
                <w:sz w:val="22"/>
                <w:szCs w:val="22"/>
              </w:rPr>
            </w:pPr>
          </w:p>
        </w:tc>
      </w:tr>
    </w:tbl>
    <w:p w14:paraId="45B0BDD8" w14:textId="77777777" w:rsidR="00236E07" w:rsidRDefault="00236E07" w:rsidP="00092F84">
      <w:pPr>
        <w:spacing w:line="276" w:lineRule="auto"/>
        <w:ind w:right="-96"/>
        <w:jc w:val="both"/>
        <w:rPr>
          <w:rFonts w:ascii="Arial" w:hAnsi="Arial" w:cs="Arial"/>
          <w:sz w:val="22"/>
          <w:szCs w:val="22"/>
        </w:rPr>
      </w:pPr>
    </w:p>
    <w:p w14:paraId="2485911A" w14:textId="4485D237" w:rsidR="00801944" w:rsidRPr="0042076F" w:rsidRDefault="00C90FB0" w:rsidP="0042076F">
      <w:pPr>
        <w:spacing w:line="276" w:lineRule="auto"/>
        <w:ind w:right="-96"/>
        <w:jc w:val="both"/>
        <w:rPr>
          <w:rFonts w:ascii="Arial" w:hAnsi="Arial" w:cs="Arial"/>
          <w:b/>
          <w:sz w:val="22"/>
          <w:szCs w:val="22"/>
        </w:rPr>
      </w:pPr>
      <w:r w:rsidRPr="0042076F">
        <w:rPr>
          <w:rFonts w:ascii="Arial" w:hAnsi="Arial" w:cs="Arial"/>
          <w:b/>
          <w:sz w:val="22"/>
          <w:szCs w:val="22"/>
        </w:rPr>
        <w:t>Items</w:t>
      </w:r>
      <w:r w:rsidR="00801944" w:rsidRPr="0042076F">
        <w:rPr>
          <w:rFonts w:ascii="Arial" w:hAnsi="Arial" w:cs="Arial"/>
          <w:b/>
          <w:sz w:val="22"/>
          <w:szCs w:val="22"/>
        </w:rPr>
        <w:t xml:space="preserve"> 20, 21, 22, 34, 42, 58 and 62 – </w:t>
      </w:r>
      <w:r w:rsidRPr="0042076F">
        <w:rPr>
          <w:rFonts w:ascii="Arial" w:hAnsi="Arial" w:cs="Arial"/>
          <w:b/>
          <w:sz w:val="22"/>
          <w:szCs w:val="22"/>
        </w:rPr>
        <w:t>C</w:t>
      </w:r>
      <w:r w:rsidR="00801944" w:rsidRPr="0042076F">
        <w:rPr>
          <w:rFonts w:ascii="Arial" w:hAnsi="Arial" w:cs="Arial"/>
          <w:b/>
          <w:sz w:val="22"/>
          <w:szCs w:val="22"/>
        </w:rPr>
        <w:t>ivil remedies</w:t>
      </w:r>
      <w:r w:rsidR="004D1D00" w:rsidRPr="0042076F">
        <w:rPr>
          <w:rStyle w:val="FootnoteReference"/>
          <w:rFonts w:ascii="Arial" w:hAnsi="Arial" w:cs="Arial"/>
          <w:b/>
          <w:sz w:val="22"/>
          <w:szCs w:val="22"/>
        </w:rPr>
        <w:footnoteReference w:id="33"/>
      </w:r>
    </w:p>
    <w:p w14:paraId="4D238738" w14:textId="77777777" w:rsidR="005C738E" w:rsidRPr="0042076F" w:rsidRDefault="005C738E" w:rsidP="0042076F">
      <w:pPr>
        <w:spacing w:line="276" w:lineRule="auto"/>
        <w:ind w:right="-96"/>
        <w:jc w:val="both"/>
        <w:rPr>
          <w:rFonts w:ascii="Arial" w:hAnsi="Arial" w:cs="Arial"/>
          <w:b/>
          <w:sz w:val="22"/>
          <w:szCs w:val="22"/>
        </w:rPr>
      </w:pPr>
    </w:p>
    <w:p w14:paraId="680C2052" w14:textId="4EA8CFA0" w:rsidR="00801944" w:rsidRPr="0042076F" w:rsidRDefault="00DE2418" w:rsidP="0042076F">
      <w:pPr>
        <w:spacing w:line="276" w:lineRule="auto"/>
        <w:jc w:val="both"/>
        <w:rPr>
          <w:rFonts w:ascii="Arial" w:hAnsi="Arial" w:cs="Arial"/>
          <w:sz w:val="22"/>
          <w:szCs w:val="22"/>
        </w:rPr>
      </w:pPr>
      <w:r w:rsidRPr="0042076F">
        <w:rPr>
          <w:rFonts w:ascii="Arial" w:hAnsi="Arial" w:cs="Arial"/>
          <w:sz w:val="22"/>
          <w:szCs w:val="22"/>
        </w:rPr>
        <w:t xml:space="preserve">We have significant concerns about the drafting of the </w:t>
      </w:r>
      <w:r w:rsidR="00837942" w:rsidRPr="0042076F">
        <w:rPr>
          <w:rFonts w:ascii="Arial" w:hAnsi="Arial" w:cs="Arial"/>
          <w:sz w:val="22"/>
          <w:szCs w:val="22"/>
        </w:rPr>
        <w:t xml:space="preserve">civil remedies provisions in the Bill. </w:t>
      </w:r>
      <w:r w:rsidR="0042076F">
        <w:rPr>
          <w:rFonts w:ascii="Arial" w:hAnsi="Arial" w:cs="Arial"/>
          <w:sz w:val="22"/>
          <w:szCs w:val="22"/>
        </w:rPr>
        <w:t>The</w:t>
      </w:r>
      <w:r w:rsidR="00837942" w:rsidRPr="0042076F">
        <w:rPr>
          <w:rFonts w:ascii="Arial" w:hAnsi="Arial" w:cs="Arial"/>
          <w:sz w:val="22"/>
          <w:szCs w:val="22"/>
        </w:rPr>
        <w:t xml:space="preserve"> drafting</w:t>
      </w:r>
      <w:r w:rsidR="0042076F">
        <w:rPr>
          <w:rFonts w:ascii="Arial" w:hAnsi="Arial" w:cs="Arial"/>
          <w:sz w:val="22"/>
          <w:szCs w:val="22"/>
        </w:rPr>
        <w:t xml:space="preserve"> of some provisions</w:t>
      </w:r>
      <w:r w:rsidR="00837942" w:rsidRPr="0042076F">
        <w:rPr>
          <w:rFonts w:ascii="Arial" w:hAnsi="Arial" w:cs="Arial"/>
          <w:sz w:val="22"/>
          <w:szCs w:val="22"/>
        </w:rPr>
        <w:t xml:space="preserve"> is unclear and could be subject to </w:t>
      </w:r>
      <w:r w:rsidR="00E9256F">
        <w:rPr>
          <w:rFonts w:ascii="Arial" w:hAnsi="Arial" w:cs="Arial"/>
          <w:sz w:val="22"/>
          <w:szCs w:val="22"/>
        </w:rPr>
        <w:t xml:space="preserve">very </w:t>
      </w:r>
      <w:r w:rsidR="00837942" w:rsidRPr="0042076F">
        <w:rPr>
          <w:rFonts w:ascii="Arial" w:hAnsi="Arial" w:cs="Arial"/>
          <w:sz w:val="22"/>
          <w:szCs w:val="22"/>
        </w:rPr>
        <w:t xml:space="preserve">different interpretations. Depending on the interpretation of the provisions, some may weaken the remedies available to consumers </w:t>
      </w:r>
      <w:r w:rsidR="00E9256F">
        <w:rPr>
          <w:rFonts w:ascii="Arial" w:hAnsi="Arial" w:cs="Arial"/>
          <w:sz w:val="22"/>
          <w:szCs w:val="22"/>
        </w:rPr>
        <w:t>currently</w:t>
      </w:r>
      <w:r w:rsidR="00837942" w:rsidRPr="0042076F">
        <w:rPr>
          <w:rFonts w:ascii="Arial" w:hAnsi="Arial" w:cs="Arial"/>
          <w:sz w:val="22"/>
          <w:szCs w:val="22"/>
        </w:rPr>
        <w:t>. We have made further detailed comments below.</w:t>
      </w:r>
    </w:p>
    <w:p w14:paraId="05F1306E" w14:textId="1CF9C81E" w:rsidR="00837942" w:rsidRPr="0042076F" w:rsidRDefault="00837942" w:rsidP="0042076F">
      <w:pPr>
        <w:spacing w:line="276" w:lineRule="auto"/>
        <w:jc w:val="both"/>
        <w:rPr>
          <w:rFonts w:ascii="Arial" w:hAnsi="Arial" w:cs="Arial"/>
          <w:i/>
          <w:sz w:val="22"/>
          <w:szCs w:val="22"/>
        </w:rPr>
      </w:pPr>
    </w:p>
    <w:p w14:paraId="357EF1E7" w14:textId="4DD63F45" w:rsidR="00837942" w:rsidRPr="0042076F" w:rsidRDefault="00837942" w:rsidP="0042076F">
      <w:pPr>
        <w:spacing w:line="276" w:lineRule="auto"/>
        <w:jc w:val="both"/>
        <w:rPr>
          <w:rFonts w:ascii="Arial" w:hAnsi="Arial" w:cs="Arial"/>
          <w:i/>
          <w:sz w:val="22"/>
          <w:szCs w:val="22"/>
        </w:rPr>
      </w:pPr>
      <w:r w:rsidRPr="0042076F">
        <w:rPr>
          <w:rFonts w:ascii="Arial" w:hAnsi="Arial" w:cs="Arial"/>
          <w:i/>
          <w:sz w:val="22"/>
          <w:szCs w:val="22"/>
        </w:rPr>
        <w:t xml:space="preserve">Interpretation </w:t>
      </w:r>
      <w:r w:rsidR="0042076F">
        <w:rPr>
          <w:rFonts w:ascii="Arial" w:hAnsi="Arial" w:cs="Arial"/>
          <w:i/>
          <w:sz w:val="22"/>
          <w:szCs w:val="22"/>
        </w:rPr>
        <w:t xml:space="preserve">of Items 20 and </w:t>
      </w:r>
      <w:r w:rsidRPr="0042076F">
        <w:rPr>
          <w:rFonts w:ascii="Arial" w:hAnsi="Arial" w:cs="Arial"/>
          <w:i/>
          <w:sz w:val="22"/>
          <w:szCs w:val="22"/>
        </w:rPr>
        <w:t>21 (ss133CC and 133CD)</w:t>
      </w:r>
    </w:p>
    <w:p w14:paraId="31AAF86E" w14:textId="2846C929" w:rsidR="00837942" w:rsidRPr="0042076F" w:rsidRDefault="00837942" w:rsidP="0042076F">
      <w:pPr>
        <w:spacing w:line="276" w:lineRule="auto"/>
        <w:jc w:val="both"/>
        <w:rPr>
          <w:rFonts w:ascii="Arial" w:hAnsi="Arial" w:cs="Arial"/>
          <w:i/>
          <w:sz w:val="22"/>
          <w:szCs w:val="22"/>
        </w:rPr>
      </w:pPr>
    </w:p>
    <w:p w14:paraId="4DB7BC53" w14:textId="1358131A" w:rsidR="00837942" w:rsidRPr="0042076F" w:rsidRDefault="00837942" w:rsidP="0042076F">
      <w:pPr>
        <w:spacing w:line="276" w:lineRule="auto"/>
        <w:jc w:val="both"/>
        <w:rPr>
          <w:rFonts w:ascii="Arial" w:hAnsi="Arial" w:cs="Arial"/>
          <w:sz w:val="22"/>
          <w:szCs w:val="22"/>
          <w:lang w:eastAsia="en-US"/>
        </w:rPr>
      </w:pPr>
      <w:r w:rsidRPr="0042076F">
        <w:rPr>
          <w:rFonts w:ascii="Arial" w:hAnsi="Arial" w:cs="Arial"/>
          <w:sz w:val="22"/>
          <w:szCs w:val="22"/>
          <w:lang w:eastAsia="en-US"/>
        </w:rPr>
        <w:t xml:space="preserve">Item 20 (s133CC(3)) provides that a provision that imposes a monetary liability to pay a fee or charge prohibited by s31A of the </w:t>
      </w:r>
      <w:r w:rsidR="00E9256F" w:rsidRPr="00E9256F">
        <w:rPr>
          <w:rFonts w:ascii="Arial" w:hAnsi="Arial" w:cs="Arial"/>
          <w:i/>
          <w:sz w:val="22"/>
          <w:szCs w:val="22"/>
          <w:lang w:eastAsia="en-US"/>
        </w:rPr>
        <w:t xml:space="preserve">National Credit </w:t>
      </w:r>
      <w:r w:rsidRPr="00E9256F">
        <w:rPr>
          <w:rFonts w:ascii="Arial" w:hAnsi="Arial" w:cs="Arial"/>
          <w:i/>
          <w:sz w:val="22"/>
          <w:szCs w:val="22"/>
          <w:lang w:eastAsia="en-US"/>
        </w:rPr>
        <w:t>Code</w:t>
      </w:r>
      <w:r w:rsidRPr="0042076F">
        <w:rPr>
          <w:rFonts w:ascii="Arial" w:hAnsi="Arial" w:cs="Arial"/>
          <w:sz w:val="22"/>
          <w:szCs w:val="22"/>
          <w:lang w:eastAsia="en-US"/>
        </w:rPr>
        <w:t xml:space="preserve"> is void </w:t>
      </w:r>
      <w:r w:rsidR="008B515B" w:rsidRPr="0042076F">
        <w:rPr>
          <w:rFonts w:ascii="Arial" w:hAnsi="Arial" w:cs="Arial"/>
          <w:sz w:val="22"/>
          <w:szCs w:val="22"/>
          <w:lang w:eastAsia="en-US"/>
        </w:rPr>
        <w:t>‘</w:t>
      </w:r>
      <w:r w:rsidRPr="0042076F">
        <w:rPr>
          <w:rFonts w:ascii="Arial" w:hAnsi="Arial" w:cs="Arial"/>
          <w:i/>
          <w:iCs/>
          <w:sz w:val="22"/>
          <w:szCs w:val="22"/>
          <w:lang w:eastAsia="en-US"/>
        </w:rPr>
        <w:t>to the extent that</w:t>
      </w:r>
      <w:r w:rsidRPr="0042076F">
        <w:rPr>
          <w:rFonts w:ascii="Arial" w:hAnsi="Arial" w:cs="Arial"/>
          <w:i/>
          <w:sz w:val="22"/>
          <w:szCs w:val="22"/>
          <w:lang w:eastAsia="en-US"/>
        </w:rPr>
        <w:t xml:space="preserve"> </w:t>
      </w:r>
      <w:r w:rsidRPr="0042076F">
        <w:rPr>
          <w:rFonts w:ascii="Arial" w:hAnsi="Arial" w:cs="Arial"/>
          <w:sz w:val="22"/>
          <w:szCs w:val="22"/>
          <w:lang w:eastAsia="en-US"/>
        </w:rPr>
        <w:t xml:space="preserve">the provision relates to </w:t>
      </w:r>
      <w:r w:rsidR="008B515B" w:rsidRPr="0042076F">
        <w:rPr>
          <w:rFonts w:ascii="Arial" w:hAnsi="Arial" w:cs="Arial"/>
          <w:sz w:val="22"/>
          <w:szCs w:val="22"/>
          <w:lang w:eastAsia="en-US"/>
        </w:rPr>
        <w:t>that liability’ (emphasis added). The reference to ‘</w:t>
      </w:r>
      <w:r w:rsidRPr="0042076F">
        <w:rPr>
          <w:rFonts w:ascii="Arial" w:hAnsi="Arial" w:cs="Arial"/>
          <w:sz w:val="22"/>
          <w:szCs w:val="22"/>
          <w:lang w:eastAsia="en-US"/>
        </w:rPr>
        <w:t>to the extent that the provision relates to that liability</w:t>
      </w:r>
      <w:r w:rsidR="008B515B" w:rsidRPr="0042076F">
        <w:rPr>
          <w:rFonts w:ascii="Arial" w:hAnsi="Arial" w:cs="Arial"/>
          <w:sz w:val="22"/>
          <w:szCs w:val="22"/>
          <w:lang w:eastAsia="en-US"/>
        </w:rPr>
        <w:t>’</w:t>
      </w:r>
      <w:r w:rsidRPr="0042076F">
        <w:rPr>
          <w:rFonts w:ascii="Arial" w:hAnsi="Arial" w:cs="Arial"/>
          <w:sz w:val="22"/>
          <w:szCs w:val="22"/>
          <w:lang w:eastAsia="en-US"/>
        </w:rPr>
        <w:t xml:space="preserve"> is ambiguous. Does it make void the provision in the contract to not allow the monthly fee and establishment fee to be charged, or is the charging provision only void in so far as it breaches the </w:t>
      </w:r>
      <w:r w:rsidR="008B515B" w:rsidRPr="0042076F">
        <w:rPr>
          <w:rFonts w:ascii="Arial" w:hAnsi="Arial" w:cs="Arial"/>
          <w:sz w:val="22"/>
          <w:szCs w:val="22"/>
          <w:lang w:eastAsia="en-US"/>
        </w:rPr>
        <w:t xml:space="preserve">protected earnings cap in the Regulations? </w:t>
      </w:r>
    </w:p>
    <w:p w14:paraId="1CC09D1D" w14:textId="77777777" w:rsidR="00837942" w:rsidRPr="0042076F" w:rsidRDefault="00837942" w:rsidP="0042076F">
      <w:pPr>
        <w:spacing w:line="276" w:lineRule="auto"/>
        <w:jc w:val="both"/>
        <w:rPr>
          <w:rFonts w:ascii="Arial" w:hAnsi="Arial" w:cs="Arial"/>
          <w:sz w:val="22"/>
          <w:szCs w:val="22"/>
          <w:lang w:eastAsia="en-US"/>
        </w:rPr>
      </w:pPr>
    </w:p>
    <w:p w14:paraId="245816A9" w14:textId="34E1870A" w:rsidR="00837942" w:rsidRDefault="008B515B" w:rsidP="0042076F">
      <w:pPr>
        <w:spacing w:line="276" w:lineRule="auto"/>
        <w:jc w:val="both"/>
        <w:rPr>
          <w:rFonts w:ascii="Arial" w:hAnsi="Arial" w:cs="Arial"/>
          <w:sz w:val="22"/>
          <w:szCs w:val="22"/>
          <w:lang w:eastAsia="en-US"/>
        </w:rPr>
      </w:pPr>
      <w:r w:rsidRPr="0042076F">
        <w:rPr>
          <w:rFonts w:ascii="Arial" w:hAnsi="Arial" w:cs="Arial"/>
          <w:sz w:val="22"/>
          <w:szCs w:val="22"/>
          <w:lang w:eastAsia="en-US"/>
        </w:rPr>
        <w:t>Further, Item 21 (s</w:t>
      </w:r>
      <w:r w:rsidR="00837942" w:rsidRPr="0042076F">
        <w:rPr>
          <w:rFonts w:ascii="Arial" w:hAnsi="Arial" w:cs="Arial"/>
          <w:sz w:val="22"/>
          <w:szCs w:val="22"/>
          <w:lang w:eastAsia="en-US"/>
        </w:rPr>
        <w:t>133CD</w:t>
      </w:r>
      <w:r w:rsidRPr="0042076F">
        <w:rPr>
          <w:rFonts w:ascii="Arial" w:hAnsi="Arial" w:cs="Arial"/>
          <w:sz w:val="22"/>
          <w:szCs w:val="22"/>
          <w:lang w:eastAsia="en-US"/>
        </w:rPr>
        <w:t xml:space="preserve">) </w:t>
      </w:r>
      <w:r w:rsidR="00837942" w:rsidRPr="0042076F">
        <w:rPr>
          <w:rFonts w:ascii="Arial" w:hAnsi="Arial" w:cs="Arial"/>
          <w:sz w:val="22"/>
          <w:szCs w:val="22"/>
          <w:lang w:eastAsia="en-US"/>
        </w:rPr>
        <w:t xml:space="preserve">says that a licensee cannot accept payment unless it </w:t>
      </w:r>
      <w:r w:rsidRPr="0042076F">
        <w:rPr>
          <w:rFonts w:ascii="Arial" w:hAnsi="Arial" w:cs="Arial"/>
          <w:sz w:val="22"/>
          <w:szCs w:val="22"/>
          <w:lang w:eastAsia="en-US"/>
        </w:rPr>
        <w:t>‘</w:t>
      </w:r>
      <w:r w:rsidR="00837942" w:rsidRPr="0042076F">
        <w:rPr>
          <w:rFonts w:ascii="Arial" w:hAnsi="Arial" w:cs="Arial"/>
          <w:i/>
          <w:iCs/>
          <w:sz w:val="22"/>
          <w:szCs w:val="22"/>
          <w:lang w:eastAsia="en-US"/>
        </w:rPr>
        <w:t>does not exceed</w:t>
      </w:r>
      <w:r w:rsidR="00837942" w:rsidRPr="0042076F">
        <w:rPr>
          <w:rFonts w:ascii="Arial" w:hAnsi="Arial" w:cs="Arial"/>
          <w:sz w:val="22"/>
          <w:szCs w:val="22"/>
          <w:lang w:eastAsia="en-US"/>
        </w:rPr>
        <w:t xml:space="preserve"> the amount which meets the requirements prescribed by the </w:t>
      </w:r>
      <w:r w:rsidRPr="0042076F">
        <w:rPr>
          <w:rFonts w:ascii="Arial" w:hAnsi="Arial" w:cs="Arial"/>
          <w:sz w:val="22"/>
          <w:szCs w:val="22"/>
          <w:lang w:eastAsia="en-US"/>
        </w:rPr>
        <w:t>regulations</w:t>
      </w:r>
      <w:r w:rsidR="00837942" w:rsidRPr="0042076F">
        <w:rPr>
          <w:rFonts w:ascii="Arial" w:hAnsi="Arial" w:cs="Arial"/>
          <w:sz w:val="22"/>
          <w:szCs w:val="22"/>
          <w:lang w:eastAsia="en-US"/>
        </w:rPr>
        <w:t xml:space="preserve"> for the purposes of </w:t>
      </w:r>
      <w:r w:rsidRPr="0042076F">
        <w:rPr>
          <w:rFonts w:ascii="Arial" w:hAnsi="Arial" w:cs="Arial"/>
          <w:sz w:val="22"/>
          <w:szCs w:val="22"/>
          <w:lang w:eastAsia="en-US"/>
        </w:rPr>
        <w:t>s</w:t>
      </w:r>
      <w:r w:rsidR="00837942" w:rsidRPr="0042076F">
        <w:rPr>
          <w:rFonts w:ascii="Arial" w:hAnsi="Arial" w:cs="Arial"/>
          <w:sz w:val="22"/>
          <w:szCs w:val="22"/>
          <w:lang w:eastAsia="en-US"/>
        </w:rPr>
        <w:t>133CC</w:t>
      </w:r>
      <w:r w:rsidRPr="0042076F">
        <w:rPr>
          <w:rFonts w:ascii="Arial" w:hAnsi="Arial" w:cs="Arial"/>
          <w:sz w:val="22"/>
          <w:szCs w:val="22"/>
          <w:lang w:eastAsia="en-US"/>
        </w:rPr>
        <w:t>’ (emphasis added)</w:t>
      </w:r>
      <w:r w:rsidR="00837942" w:rsidRPr="0042076F">
        <w:rPr>
          <w:rFonts w:ascii="Arial" w:hAnsi="Arial" w:cs="Arial"/>
          <w:sz w:val="22"/>
          <w:szCs w:val="22"/>
          <w:lang w:eastAsia="en-US"/>
        </w:rPr>
        <w:t xml:space="preserve">. </w:t>
      </w:r>
      <w:r w:rsidRPr="0042076F">
        <w:rPr>
          <w:rFonts w:ascii="Arial" w:hAnsi="Arial" w:cs="Arial"/>
          <w:sz w:val="22"/>
          <w:szCs w:val="22"/>
          <w:lang w:eastAsia="en-US"/>
        </w:rPr>
        <w:t xml:space="preserve">However, s133CD(3)(a) refers simply to ‘the payment’, while s133(CD)(3)(b) </w:t>
      </w:r>
      <w:r w:rsidR="00E9256F">
        <w:rPr>
          <w:rFonts w:ascii="Arial" w:hAnsi="Arial" w:cs="Arial"/>
          <w:sz w:val="22"/>
          <w:szCs w:val="22"/>
          <w:lang w:eastAsia="en-US"/>
        </w:rPr>
        <w:t>refers</w:t>
      </w:r>
      <w:r w:rsidRPr="0042076F">
        <w:rPr>
          <w:rFonts w:ascii="Arial" w:hAnsi="Arial" w:cs="Arial"/>
          <w:sz w:val="22"/>
          <w:szCs w:val="22"/>
          <w:lang w:eastAsia="en-US"/>
        </w:rPr>
        <w:t xml:space="preserve"> to ‘any payment’. Does s133CD therefore allow full disgorgement of all payments, or are the payments capped as foreshadowed in s133CC?</w:t>
      </w:r>
      <w:r w:rsidR="009C2F41">
        <w:rPr>
          <w:rFonts w:ascii="Arial" w:hAnsi="Arial" w:cs="Arial"/>
          <w:sz w:val="22"/>
          <w:szCs w:val="22"/>
          <w:lang w:eastAsia="en-US"/>
        </w:rPr>
        <w:t xml:space="preserve"> </w:t>
      </w:r>
    </w:p>
    <w:p w14:paraId="52D639B8" w14:textId="04E4047C" w:rsidR="009C2F41" w:rsidRDefault="009C2F41" w:rsidP="0042076F">
      <w:pPr>
        <w:spacing w:line="276" w:lineRule="auto"/>
        <w:jc w:val="both"/>
        <w:rPr>
          <w:rFonts w:ascii="Arial" w:hAnsi="Arial" w:cs="Arial"/>
          <w:sz w:val="22"/>
          <w:szCs w:val="22"/>
          <w:lang w:eastAsia="en-US"/>
        </w:rPr>
      </w:pPr>
    </w:p>
    <w:p w14:paraId="3A8CC5BD" w14:textId="1F7ED2E1" w:rsidR="009C2F41" w:rsidRPr="0042076F" w:rsidRDefault="009C2F41" w:rsidP="0042076F">
      <w:pPr>
        <w:spacing w:line="276" w:lineRule="auto"/>
        <w:jc w:val="both"/>
        <w:rPr>
          <w:rFonts w:ascii="Arial" w:hAnsi="Arial" w:cs="Arial"/>
          <w:sz w:val="22"/>
          <w:szCs w:val="22"/>
          <w:lang w:eastAsia="en-US"/>
        </w:rPr>
      </w:pPr>
      <w:r>
        <w:rPr>
          <w:rFonts w:ascii="Arial" w:hAnsi="Arial" w:cs="Arial"/>
          <w:sz w:val="22"/>
          <w:szCs w:val="22"/>
          <w:lang w:eastAsia="en-US"/>
        </w:rPr>
        <w:t>We are also concerned that the lack of clarity of these provisions may result in Item 42 (s31C(2)(b)), which relates to refunds of unexpired permitted monthly fees, being read down by a court so that this is no longer consider</w:t>
      </w:r>
      <w:r w:rsidR="009C0918">
        <w:rPr>
          <w:rFonts w:ascii="Arial" w:hAnsi="Arial" w:cs="Arial"/>
          <w:sz w:val="22"/>
          <w:szCs w:val="22"/>
          <w:lang w:eastAsia="en-US"/>
        </w:rPr>
        <w:t>ed</w:t>
      </w:r>
      <w:r>
        <w:rPr>
          <w:rFonts w:ascii="Arial" w:hAnsi="Arial" w:cs="Arial"/>
          <w:sz w:val="22"/>
          <w:szCs w:val="22"/>
          <w:lang w:eastAsia="en-US"/>
        </w:rPr>
        <w:t xml:space="preserve"> a proactive obligation. We note that we strongly support the requirement for SACC providers to refund overpayments of monthly fees to consumers. </w:t>
      </w:r>
    </w:p>
    <w:p w14:paraId="1F34DB67" w14:textId="69968041" w:rsidR="00734855" w:rsidRPr="0042076F" w:rsidRDefault="00734855" w:rsidP="0042076F">
      <w:pPr>
        <w:spacing w:line="276" w:lineRule="auto"/>
        <w:jc w:val="both"/>
        <w:rPr>
          <w:rFonts w:ascii="Arial" w:hAnsi="Arial" w:cs="Arial"/>
          <w:sz w:val="22"/>
          <w:szCs w:val="22"/>
          <w:lang w:eastAsia="en-US"/>
        </w:rPr>
      </w:pPr>
    </w:p>
    <w:p w14:paraId="4DC31DD2" w14:textId="57861920" w:rsidR="00734855" w:rsidRDefault="00734855" w:rsidP="0042076F">
      <w:pPr>
        <w:spacing w:line="276" w:lineRule="auto"/>
        <w:jc w:val="both"/>
        <w:rPr>
          <w:rFonts w:ascii="Arial" w:hAnsi="Arial" w:cs="Arial"/>
          <w:sz w:val="22"/>
          <w:szCs w:val="22"/>
          <w:lang w:eastAsia="en-US"/>
        </w:rPr>
      </w:pPr>
      <w:r w:rsidRPr="0042076F">
        <w:rPr>
          <w:rFonts w:ascii="Arial" w:hAnsi="Arial" w:cs="Arial"/>
          <w:sz w:val="22"/>
          <w:szCs w:val="22"/>
          <w:lang w:eastAsia="en-US"/>
        </w:rPr>
        <w:t xml:space="preserve">Given these are criminal offences, we recommend </w:t>
      </w:r>
      <w:r w:rsidR="00084D22">
        <w:rPr>
          <w:rFonts w:ascii="Arial" w:hAnsi="Arial" w:cs="Arial"/>
          <w:sz w:val="22"/>
          <w:szCs w:val="22"/>
          <w:lang w:eastAsia="en-US"/>
        </w:rPr>
        <w:t xml:space="preserve">that these provisions be clarified to provide that the </w:t>
      </w:r>
      <w:r w:rsidRPr="0042076F">
        <w:rPr>
          <w:rFonts w:ascii="Arial" w:hAnsi="Arial" w:cs="Arial"/>
          <w:sz w:val="22"/>
          <w:szCs w:val="22"/>
          <w:lang w:eastAsia="en-US"/>
        </w:rPr>
        <w:t xml:space="preserve">debtor not be liable for future payments and </w:t>
      </w:r>
      <w:r w:rsidR="00084D22">
        <w:rPr>
          <w:rFonts w:ascii="Arial" w:hAnsi="Arial" w:cs="Arial"/>
          <w:sz w:val="22"/>
          <w:szCs w:val="22"/>
          <w:lang w:eastAsia="en-US"/>
        </w:rPr>
        <w:t>is</w:t>
      </w:r>
      <w:r w:rsidRPr="0042076F">
        <w:rPr>
          <w:rFonts w:ascii="Arial" w:hAnsi="Arial" w:cs="Arial"/>
          <w:sz w:val="22"/>
          <w:szCs w:val="22"/>
          <w:lang w:eastAsia="en-US"/>
        </w:rPr>
        <w:t xml:space="preserve"> entitled to recover any amounts already paid under the contract</w:t>
      </w:r>
      <w:r w:rsidR="00E9256F">
        <w:rPr>
          <w:rFonts w:ascii="Arial" w:hAnsi="Arial" w:cs="Arial"/>
          <w:sz w:val="22"/>
          <w:szCs w:val="22"/>
          <w:lang w:eastAsia="en-US"/>
        </w:rPr>
        <w:t xml:space="preserve"> in the event of a breach</w:t>
      </w:r>
      <w:r w:rsidRPr="0042076F">
        <w:rPr>
          <w:rFonts w:ascii="Arial" w:hAnsi="Arial" w:cs="Arial"/>
          <w:sz w:val="22"/>
          <w:szCs w:val="22"/>
          <w:lang w:eastAsia="en-US"/>
        </w:rPr>
        <w:t xml:space="preserve">. This aligns with the approach taken under s180 of the NCCP Act for breaches of s29, which relates to engaging in unlicensed credit activities. </w:t>
      </w:r>
    </w:p>
    <w:p w14:paraId="60CC0A0E" w14:textId="67C3C76D" w:rsidR="00084D22" w:rsidRDefault="00084D22" w:rsidP="0042076F">
      <w:pPr>
        <w:spacing w:line="276" w:lineRule="auto"/>
        <w:jc w:val="both"/>
        <w:rPr>
          <w:rFonts w:ascii="Arial" w:hAnsi="Arial" w:cs="Arial"/>
          <w:sz w:val="22"/>
          <w:szCs w:val="22"/>
          <w:lang w:eastAsia="en-US"/>
        </w:rPr>
      </w:pPr>
    </w:p>
    <w:p w14:paraId="5CC69928" w14:textId="1B15B9D6" w:rsidR="00084D22" w:rsidRDefault="00084D22" w:rsidP="0042076F">
      <w:pPr>
        <w:spacing w:line="276" w:lineRule="auto"/>
        <w:jc w:val="both"/>
        <w:rPr>
          <w:rFonts w:ascii="Arial" w:hAnsi="Arial" w:cs="Arial"/>
          <w:sz w:val="22"/>
          <w:szCs w:val="22"/>
          <w:lang w:eastAsia="en-US"/>
        </w:rPr>
      </w:pPr>
      <w:r>
        <w:rPr>
          <w:rFonts w:ascii="Arial" w:hAnsi="Arial" w:cs="Arial"/>
          <w:sz w:val="22"/>
          <w:szCs w:val="22"/>
          <w:lang w:eastAsia="en-US"/>
        </w:rPr>
        <w:t>We also note that under s133CE, which prohibits license</w:t>
      </w:r>
      <w:r w:rsidR="00E9256F">
        <w:rPr>
          <w:rFonts w:ascii="Arial" w:hAnsi="Arial" w:cs="Arial"/>
          <w:sz w:val="22"/>
          <w:szCs w:val="22"/>
          <w:lang w:eastAsia="en-US"/>
        </w:rPr>
        <w:t>e</w:t>
      </w:r>
      <w:r>
        <w:rPr>
          <w:rFonts w:ascii="Arial" w:hAnsi="Arial" w:cs="Arial"/>
          <w:sz w:val="22"/>
          <w:szCs w:val="22"/>
          <w:lang w:eastAsia="en-US"/>
        </w:rPr>
        <w:t>s from entering in</w:t>
      </w:r>
      <w:r w:rsidR="00E9256F">
        <w:rPr>
          <w:rFonts w:ascii="Arial" w:hAnsi="Arial" w:cs="Arial"/>
          <w:sz w:val="22"/>
          <w:szCs w:val="22"/>
          <w:lang w:eastAsia="en-US"/>
        </w:rPr>
        <w:t>to</w:t>
      </w:r>
      <w:r>
        <w:rPr>
          <w:rFonts w:ascii="Arial" w:hAnsi="Arial" w:cs="Arial"/>
          <w:sz w:val="22"/>
          <w:szCs w:val="22"/>
          <w:lang w:eastAsia="en-US"/>
        </w:rPr>
        <w:t xml:space="preserve"> a SACC </w:t>
      </w:r>
      <w:r w:rsidR="00E9256F">
        <w:rPr>
          <w:rFonts w:ascii="Arial" w:hAnsi="Arial" w:cs="Arial"/>
          <w:sz w:val="22"/>
          <w:szCs w:val="22"/>
          <w:lang w:eastAsia="en-US"/>
        </w:rPr>
        <w:t>with unequal</w:t>
      </w:r>
      <w:r>
        <w:rPr>
          <w:rFonts w:ascii="Arial" w:hAnsi="Arial" w:cs="Arial"/>
          <w:sz w:val="22"/>
          <w:szCs w:val="22"/>
          <w:lang w:eastAsia="en-US"/>
        </w:rPr>
        <w:t xml:space="preserve"> repayments, there is no remedy available for a debtor. While the provision would allow ASIC to take enforcement action against the licensee, the debtor would still be liable to make the repayments and would not be entitled to compensation. </w:t>
      </w:r>
    </w:p>
    <w:p w14:paraId="105D5BA2" w14:textId="2BFFDA10" w:rsidR="00380A56" w:rsidRDefault="00380A56" w:rsidP="0042076F">
      <w:pPr>
        <w:spacing w:line="276" w:lineRule="auto"/>
        <w:jc w:val="both"/>
        <w:rPr>
          <w:rFonts w:ascii="Arial" w:hAnsi="Arial" w:cs="Arial"/>
          <w:sz w:val="22"/>
          <w:szCs w:val="22"/>
          <w:lang w:eastAsia="en-US"/>
        </w:rPr>
      </w:pPr>
    </w:p>
    <w:tbl>
      <w:tblPr>
        <w:tblStyle w:val="TableGrid"/>
        <w:tblW w:w="0" w:type="auto"/>
        <w:shd w:val="clear" w:color="auto" w:fill="D9D9D9" w:themeFill="background1" w:themeFillShade="D9"/>
        <w:tblLook w:val="04A0" w:firstRow="1" w:lastRow="0" w:firstColumn="1" w:lastColumn="0" w:noHBand="0" w:noVBand="1"/>
      </w:tblPr>
      <w:tblGrid>
        <w:gridCol w:w="9346"/>
      </w:tblGrid>
      <w:tr w:rsidR="00380A56" w14:paraId="115597DC" w14:textId="77777777" w:rsidTr="00991A4A">
        <w:tc>
          <w:tcPr>
            <w:tcW w:w="9346" w:type="dxa"/>
            <w:shd w:val="clear" w:color="auto" w:fill="D9D9D9" w:themeFill="background1" w:themeFillShade="D9"/>
          </w:tcPr>
          <w:p w14:paraId="4AFA9258" w14:textId="77777777" w:rsidR="00380A56" w:rsidRDefault="00380A56" w:rsidP="0042076F">
            <w:pPr>
              <w:spacing w:line="276" w:lineRule="auto"/>
              <w:jc w:val="both"/>
              <w:rPr>
                <w:rFonts w:ascii="Arial" w:hAnsi="Arial" w:cs="Arial"/>
                <w:sz w:val="22"/>
                <w:szCs w:val="22"/>
                <w:lang w:eastAsia="en-US"/>
              </w:rPr>
            </w:pPr>
          </w:p>
          <w:p w14:paraId="7EE4DC82" w14:textId="0DA0317E" w:rsidR="00380A56" w:rsidRDefault="00380A56" w:rsidP="0042076F">
            <w:pPr>
              <w:spacing w:line="276" w:lineRule="auto"/>
              <w:jc w:val="both"/>
              <w:rPr>
                <w:rFonts w:ascii="Arial" w:hAnsi="Arial" w:cs="Arial"/>
                <w:sz w:val="22"/>
                <w:szCs w:val="22"/>
                <w:lang w:eastAsia="en-US"/>
              </w:rPr>
            </w:pPr>
            <w:r w:rsidRPr="00380A56">
              <w:rPr>
                <w:rFonts w:ascii="Arial" w:hAnsi="Arial" w:cs="Arial"/>
                <w:b/>
                <w:sz w:val="22"/>
                <w:szCs w:val="22"/>
                <w:lang w:eastAsia="en-US"/>
              </w:rPr>
              <w:t>Recommendation 8:</w:t>
            </w:r>
            <w:r>
              <w:rPr>
                <w:rFonts w:ascii="Arial" w:hAnsi="Arial" w:cs="Arial"/>
                <w:sz w:val="22"/>
                <w:szCs w:val="22"/>
                <w:lang w:eastAsia="en-US"/>
              </w:rPr>
              <w:t xml:space="preserve"> </w:t>
            </w:r>
            <w:r w:rsidR="00991A4A">
              <w:rPr>
                <w:rFonts w:ascii="Arial" w:hAnsi="Arial" w:cs="Arial"/>
                <w:sz w:val="22"/>
                <w:szCs w:val="22"/>
                <w:lang w:eastAsia="en-US"/>
              </w:rPr>
              <w:t>Amend</w:t>
            </w:r>
            <w:r>
              <w:rPr>
                <w:rFonts w:ascii="Arial" w:hAnsi="Arial" w:cs="Arial"/>
                <w:sz w:val="22"/>
                <w:szCs w:val="22"/>
                <w:lang w:eastAsia="en-US"/>
              </w:rPr>
              <w:t xml:space="preserve"> ss133CC and 133CD to provide that a </w:t>
            </w:r>
            <w:r w:rsidRPr="0042076F">
              <w:rPr>
                <w:rFonts w:ascii="Arial" w:hAnsi="Arial" w:cs="Arial"/>
                <w:sz w:val="22"/>
                <w:szCs w:val="22"/>
                <w:lang w:eastAsia="en-US"/>
              </w:rPr>
              <w:t xml:space="preserve">debtor </w:t>
            </w:r>
            <w:r>
              <w:rPr>
                <w:rFonts w:ascii="Arial" w:hAnsi="Arial" w:cs="Arial"/>
                <w:sz w:val="22"/>
                <w:szCs w:val="22"/>
                <w:lang w:eastAsia="en-US"/>
              </w:rPr>
              <w:t xml:space="preserve">is </w:t>
            </w:r>
            <w:r w:rsidRPr="0042076F">
              <w:rPr>
                <w:rFonts w:ascii="Arial" w:hAnsi="Arial" w:cs="Arial"/>
                <w:sz w:val="22"/>
                <w:szCs w:val="22"/>
                <w:lang w:eastAsia="en-US"/>
              </w:rPr>
              <w:t xml:space="preserve">not be liable for future payments and </w:t>
            </w:r>
            <w:r>
              <w:rPr>
                <w:rFonts w:ascii="Arial" w:hAnsi="Arial" w:cs="Arial"/>
                <w:sz w:val="22"/>
                <w:szCs w:val="22"/>
                <w:lang w:eastAsia="en-US"/>
              </w:rPr>
              <w:t>is</w:t>
            </w:r>
            <w:r w:rsidRPr="0042076F">
              <w:rPr>
                <w:rFonts w:ascii="Arial" w:hAnsi="Arial" w:cs="Arial"/>
                <w:sz w:val="22"/>
                <w:szCs w:val="22"/>
                <w:lang w:eastAsia="en-US"/>
              </w:rPr>
              <w:t xml:space="preserve"> entitled to recover any amounts already paid under the contract</w:t>
            </w:r>
            <w:r>
              <w:rPr>
                <w:rFonts w:ascii="Arial" w:hAnsi="Arial" w:cs="Arial"/>
                <w:sz w:val="22"/>
                <w:szCs w:val="22"/>
                <w:lang w:eastAsia="en-US"/>
              </w:rPr>
              <w:t xml:space="preserve"> in the event of a breach</w:t>
            </w:r>
            <w:r w:rsidRPr="0042076F">
              <w:rPr>
                <w:rFonts w:ascii="Arial" w:hAnsi="Arial" w:cs="Arial"/>
                <w:sz w:val="22"/>
                <w:szCs w:val="22"/>
                <w:lang w:eastAsia="en-US"/>
              </w:rPr>
              <w:t>.</w:t>
            </w:r>
          </w:p>
          <w:p w14:paraId="3E1EC813" w14:textId="77777777" w:rsidR="00380A56" w:rsidRDefault="00380A56" w:rsidP="0042076F">
            <w:pPr>
              <w:spacing w:line="276" w:lineRule="auto"/>
              <w:jc w:val="both"/>
              <w:rPr>
                <w:rFonts w:ascii="Arial" w:hAnsi="Arial" w:cs="Arial"/>
                <w:sz w:val="22"/>
                <w:szCs w:val="22"/>
                <w:lang w:eastAsia="en-US"/>
              </w:rPr>
            </w:pPr>
          </w:p>
          <w:p w14:paraId="1AE0F8B8" w14:textId="4C251603" w:rsidR="00380A56" w:rsidRDefault="00380A56" w:rsidP="0042076F">
            <w:pPr>
              <w:spacing w:line="276" w:lineRule="auto"/>
              <w:jc w:val="both"/>
              <w:rPr>
                <w:rFonts w:ascii="Arial" w:hAnsi="Arial" w:cs="Arial"/>
                <w:sz w:val="22"/>
                <w:szCs w:val="22"/>
                <w:lang w:eastAsia="en-US"/>
              </w:rPr>
            </w:pPr>
            <w:r w:rsidRPr="00991A4A">
              <w:rPr>
                <w:rFonts w:ascii="Arial" w:hAnsi="Arial" w:cs="Arial"/>
                <w:b/>
                <w:sz w:val="22"/>
                <w:szCs w:val="22"/>
                <w:lang w:eastAsia="en-US"/>
              </w:rPr>
              <w:t>Recommendation 9:</w:t>
            </w:r>
            <w:r>
              <w:rPr>
                <w:rFonts w:ascii="Arial" w:hAnsi="Arial" w:cs="Arial"/>
                <w:sz w:val="22"/>
                <w:szCs w:val="22"/>
                <w:lang w:eastAsia="en-US"/>
              </w:rPr>
              <w:t xml:space="preserve"> </w:t>
            </w:r>
            <w:r w:rsidR="00991A4A">
              <w:rPr>
                <w:rFonts w:ascii="Arial" w:hAnsi="Arial" w:cs="Arial"/>
                <w:sz w:val="22"/>
                <w:szCs w:val="22"/>
                <w:lang w:eastAsia="en-US"/>
              </w:rPr>
              <w:t>Provide a remedy for debtors under s133CE, which prohibits licenses from entering in</w:t>
            </w:r>
            <w:r w:rsidR="00E9256F">
              <w:rPr>
                <w:rFonts w:ascii="Arial" w:hAnsi="Arial" w:cs="Arial"/>
                <w:sz w:val="22"/>
                <w:szCs w:val="22"/>
                <w:lang w:eastAsia="en-US"/>
              </w:rPr>
              <w:t>to</w:t>
            </w:r>
            <w:r w:rsidR="00991A4A">
              <w:rPr>
                <w:rFonts w:ascii="Arial" w:hAnsi="Arial" w:cs="Arial"/>
                <w:sz w:val="22"/>
                <w:szCs w:val="22"/>
                <w:lang w:eastAsia="en-US"/>
              </w:rPr>
              <w:t xml:space="preserve"> a SACC </w:t>
            </w:r>
            <w:r w:rsidR="00E9256F">
              <w:rPr>
                <w:rFonts w:ascii="Arial" w:hAnsi="Arial" w:cs="Arial"/>
                <w:sz w:val="22"/>
                <w:szCs w:val="22"/>
                <w:lang w:eastAsia="en-US"/>
              </w:rPr>
              <w:t>with unequal</w:t>
            </w:r>
            <w:r w:rsidR="00991A4A">
              <w:rPr>
                <w:rFonts w:ascii="Arial" w:hAnsi="Arial" w:cs="Arial"/>
                <w:sz w:val="22"/>
                <w:szCs w:val="22"/>
                <w:lang w:eastAsia="en-US"/>
              </w:rPr>
              <w:t xml:space="preserve"> repayments.</w:t>
            </w:r>
          </w:p>
          <w:p w14:paraId="2B73B78E" w14:textId="372B802C" w:rsidR="00991A4A" w:rsidRDefault="00991A4A" w:rsidP="0042076F">
            <w:pPr>
              <w:spacing w:line="276" w:lineRule="auto"/>
              <w:jc w:val="both"/>
              <w:rPr>
                <w:rFonts w:ascii="Arial" w:hAnsi="Arial" w:cs="Arial"/>
                <w:sz w:val="22"/>
                <w:szCs w:val="22"/>
                <w:lang w:eastAsia="en-US"/>
              </w:rPr>
            </w:pPr>
          </w:p>
        </w:tc>
      </w:tr>
    </w:tbl>
    <w:p w14:paraId="115D618C" w14:textId="77777777" w:rsidR="00380A56" w:rsidRPr="0042076F" w:rsidRDefault="00380A56" w:rsidP="0042076F">
      <w:pPr>
        <w:spacing w:line="276" w:lineRule="auto"/>
        <w:jc w:val="both"/>
        <w:rPr>
          <w:rFonts w:ascii="Arial" w:hAnsi="Arial" w:cs="Arial"/>
          <w:sz w:val="22"/>
          <w:szCs w:val="22"/>
          <w:lang w:eastAsia="en-US"/>
        </w:rPr>
      </w:pPr>
    </w:p>
    <w:p w14:paraId="496FE465" w14:textId="50981359" w:rsidR="008B515B" w:rsidRPr="0042076F" w:rsidRDefault="008B515B" w:rsidP="0042076F">
      <w:pPr>
        <w:spacing w:line="276" w:lineRule="auto"/>
        <w:jc w:val="both"/>
        <w:rPr>
          <w:rFonts w:ascii="Arial" w:hAnsi="Arial" w:cs="Arial"/>
          <w:i/>
          <w:sz w:val="22"/>
          <w:szCs w:val="22"/>
        </w:rPr>
      </w:pPr>
      <w:r w:rsidRPr="0042076F">
        <w:rPr>
          <w:rFonts w:ascii="Arial" w:hAnsi="Arial" w:cs="Arial"/>
          <w:i/>
          <w:sz w:val="22"/>
          <w:szCs w:val="22"/>
        </w:rPr>
        <w:t>Interpretation of Item</w:t>
      </w:r>
      <w:r w:rsidR="00734855" w:rsidRPr="0042076F">
        <w:rPr>
          <w:rFonts w:ascii="Arial" w:hAnsi="Arial" w:cs="Arial"/>
          <w:i/>
          <w:sz w:val="22"/>
          <w:szCs w:val="22"/>
        </w:rPr>
        <w:t>s</w:t>
      </w:r>
      <w:r w:rsidRPr="0042076F">
        <w:rPr>
          <w:rFonts w:ascii="Arial" w:hAnsi="Arial" w:cs="Arial"/>
          <w:i/>
          <w:sz w:val="22"/>
          <w:szCs w:val="22"/>
        </w:rPr>
        <w:t xml:space="preserve"> 34 and 58 (ss156A, 156B, 175AB and 175AC)</w:t>
      </w:r>
    </w:p>
    <w:p w14:paraId="6884D1BB" w14:textId="04D3DE0B" w:rsidR="008B515B" w:rsidRPr="0042076F" w:rsidRDefault="008B515B" w:rsidP="0042076F">
      <w:pPr>
        <w:spacing w:line="276" w:lineRule="auto"/>
        <w:jc w:val="both"/>
        <w:rPr>
          <w:rFonts w:ascii="Arial" w:hAnsi="Arial" w:cs="Arial"/>
          <w:sz w:val="22"/>
          <w:szCs w:val="22"/>
          <w:lang w:eastAsia="en-US"/>
        </w:rPr>
      </w:pPr>
    </w:p>
    <w:p w14:paraId="4EFA0132" w14:textId="05C9B9FE" w:rsidR="008B515B" w:rsidRPr="0042076F" w:rsidRDefault="008B515B" w:rsidP="0042076F">
      <w:pPr>
        <w:spacing w:line="276" w:lineRule="auto"/>
        <w:jc w:val="both"/>
        <w:rPr>
          <w:rFonts w:ascii="Arial" w:hAnsi="Arial" w:cs="Arial"/>
          <w:sz w:val="22"/>
          <w:szCs w:val="22"/>
        </w:rPr>
      </w:pPr>
      <w:r w:rsidRPr="0042076F">
        <w:rPr>
          <w:rFonts w:ascii="Arial" w:hAnsi="Arial" w:cs="Arial"/>
          <w:sz w:val="22"/>
          <w:szCs w:val="22"/>
          <w:lang w:eastAsia="en-US"/>
        </w:rPr>
        <w:t xml:space="preserve">Similar to above, we query whether the remedies contained in ss156A, 156B, </w:t>
      </w:r>
      <w:r w:rsidRPr="0042076F">
        <w:rPr>
          <w:rFonts w:ascii="Arial" w:hAnsi="Arial" w:cs="Arial"/>
          <w:sz w:val="22"/>
          <w:szCs w:val="22"/>
        </w:rPr>
        <w:t xml:space="preserve">175AB and 175AC permit full recovery of all amounts paid, or are limited to a refund of payments up to the base price. </w:t>
      </w:r>
      <w:r w:rsidR="00734855" w:rsidRPr="0042076F">
        <w:rPr>
          <w:rFonts w:ascii="Arial" w:hAnsi="Arial" w:cs="Arial"/>
          <w:sz w:val="22"/>
          <w:szCs w:val="22"/>
        </w:rPr>
        <w:t xml:space="preserve">The confusion arises as the drafting of ss156A and 175AB refers to ‘the extent that the provision relates to the liability’, while ss156B and 175AC refers to ‘any payment made by the lessee to the lessor or person’. </w:t>
      </w:r>
    </w:p>
    <w:p w14:paraId="26F0EAF7" w14:textId="24E7A99A" w:rsidR="00734855" w:rsidRPr="0042076F" w:rsidRDefault="00734855" w:rsidP="0042076F">
      <w:pPr>
        <w:spacing w:line="276" w:lineRule="auto"/>
        <w:jc w:val="both"/>
        <w:rPr>
          <w:rFonts w:ascii="Arial" w:hAnsi="Arial" w:cs="Arial"/>
          <w:sz w:val="22"/>
          <w:szCs w:val="22"/>
        </w:rPr>
      </w:pPr>
    </w:p>
    <w:p w14:paraId="14C299A9" w14:textId="4BF19933" w:rsidR="00734855" w:rsidRDefault="00734855" w:rsidP="0042076F">
      <w:pPr>
        <w:spacing w:line="276" w:lineRule="auto"/>
        <w:jc w:val="both"/>
        <w:rPr>
          <w:rFonts w:ascii="Arial" w:hAnsi="Arial" w:cs="Arial"/>
          <w:sz w:val="22"/>
          <w:szCs w:val="22"/>
          <w:lang w:eastAsia="en-US"/>
        </w:rPr>
      </w:pPr>
      <w:r w:rsidRPr="0042076F">
        <w:rPr>
          <w:rFonts w:ascii="Arial" w:hAnsi="Arial" w:cs="Arial"/>
          <w:sz w:val="22"/>
          <w:szCs w:val="22"/>
        </w:rPr>
        <w:t xml:space="preserve">As above, </w:t>
      </w:r>
      <w:r w:rsidRPr="0042076F">
        <w:rPr>
          <w:rFonts w:ascii="Arial" w:hAnsi="Arial" w:cs="Arial"/>
          <w:sz w:val="22"/>
          <w:szCs w:val="22"/>
          <w:lang w:eastAsia="en-US"/>
        </w:rPr>
        <w:t xml:space="preserve">given these are criminal offences, </w:t>
      </w:r>
      <w:r w:rsidR="00084D22" w:rsidRPr="0042076F">
        <w:rPr>
          <w:rFonts w:ascii="Arial" w:hAnsi="Arial" w:cs="Arial"/>
          <w:sz w:val="22"/>
          <w:szCs w:val="22"/>
          <w:lang w:eastAsia="en-US"/>
        </w:rPr>
        <w:t xml:space="preserve">we recommend </w:t>
      </w:r>
      <w:r w:rsidR="00084D22">
        <w:rPr>
          <w:rFonts w:ascii="Arial" w:hAnsi="Arial" w:cs="Arial"/>
          <w:sz w:val="22"/>
          <w:szCs w:val="22"/>
          <w:lang w:eastAsia="en-US"/>
        </w:rPr>
        <w:t xml:space="preserve">that these provisions be clarified to provide that the </w:t>
      </w:r>
      <w:r w:rsidR="00084D22" w:rsidRPr="0042076F">
        <w:rPr>
          <w:rFonts w:ascii="Arial" w:hAnsi="Arial" w:cs="Arial"/>
          <w:sz w:val="22"/>
          <w:szCs w:val="22"/>
          <w:lang w:eastAsia="en-US"/>
        </w:rPr>
        <w:t xml:space="preserve">debtor not be liable for future payments and </w:t>
      </w:r>
      <w:r w:rsidR="00084D22">
        <w:rPr>
          <w:rFonts w:ascii="Arial" w:hAnsi="Arial" w:cs="Arial"/>
          <w:sz w:val="22"/>
          <w:szCs w:val="22"/>
          <w:lang w:eastAsia="en-US"/>
        </w:rPr>
        <w:t>is</w:t>
      </w:r>
      <w:r w:rsidR="00084D22" w:rsidRPr="0042076F">
        <w:rPr>
          <w:rFonts w:ascii="Arial" w:hAnsi="Arial" w:cs="Arial"/>
          <w:sz w:val="22"/>
          <w:szCs w:val="22"/>
          <w:lang w:eastAsia="en-US"/>
        </w:rPr>
        <w:t xml:space="preserve"> entitled to recover any amounts already paid under the </w:t>
      </w:r>
      <w:r w:rsidR="00084D22">
        <w:rPr>
          <w:rFonts w:ascii="Arial" w:hAnsi="Arial" w:cs="Arial"/>
          <w:sz w:val="22"/>
          <w:szCs w:val="22"/>
          <w:lang w:eastAsia="en-US"/>
        </w:rPr>
        <w:t>lease</w:t>
      </w:r>
      <w:r w:rsidR="00084D22" w:rsidRPr="0042076F">
        <w:rPr>
          <w:rFonts w:ascii="Arial" w:hAnsi="Arial" w:cs="Arial"/>
          <w:sz w:val="22"/>
          <w:szCs w:val="22"/>
          <w:lang w:eastAsia="en-US"/>
        </w:rPr>
        <w:t>.</w:t>
      </w:r>
      <w:r w:rsidR="00E9256F">
        <w:rPr>
          <w:rFonts w:ascii="Arial" w:hAnsi="Arial" w:cs="Arial"/>
          <w:sz w:val="22"/>
          <w:szCs w:val="22"/>
          <w:lang w:eastAsia="en-US"/>
        </w:rPr>
        <w:t xml:space="preserve"> Full disgorgement would also incentivise compliance and provide appropriate redress to debtors, who may otherwise choose not to pursue their claim.</w:t>
      </w:r>
    </w:p>
    <w:p w14:paraId="50BB43FF" w14:textId="55F42285" w:rsidR="00991A4A" w:rsidRDefault="00991A4A" w:rsidP="0042076F">
      <w:pPr>
        <w:spacing w:line="276" w:lineRule="auto"/>
        <w:jc w:val="both"/>
        <w:rPr>
          <w:rFonts w:ascii="Arial" w:hAnsi="Arial" w:cs="Arial"/>
          <w:sz w:val="22"/>
          <w:szCs w:val="22"/>
          <w:lang w:eastAsia="en-US"/>
        </w:rPr>
      </w:pPr>
    </w:p>
    <w:tbl>
      <w:tblPr>
        <w:tblStyle w:val="TableGrid"/>
        <w:tblW w:w="0" w:type="auto"/>
        <w:shd w:val="clear" w:color="auto" w:fill="D9D9D9" w:themeFill="background1" w:themeFillShade="D9"/>
        <w:tblLook w:val="04A0" w:firstRow="1" w:lastRow="0" w:firstColumn="1" w:lastColumn="0" w:noHBand="0" w:noVBand="1"/>
      </w:tblPr>
      <w:tblGrid>
        <w:gridCol w:w="9346"/>
      </w:tblGrid>
      <w:tr w:rsidR="00991A4A" w14:paraId="5FF10665" w14:textId="77777777" w:rsidTr="00991A4A">
        <w:tc>
          <w:tcPr>
            <w:tcW w:w="9346" w:type="dxa"/>
            <w:shd w:val="clear" w:color="auto" w:fill="D9D9D9" w:themeFill="background1" w:themeFillShade="D9"/>
          </w:tcPr>
          <w:p w14:paraId="179C54C9" w14:textId="77777777" w:rsidR="00991A4A" w:rsidRDefault="00991A4A" w:rsidP="0042076F">
            <w:pPr>
              <w:spacing w:line="276" w:lineRule="auto"/>
              <w:jc w:val="both"/>
              <w:rPr>
                <w:rFonts w:ascii="Arial" w:hAnsi="Arial" w:cs="Arial"/>
                <w:sz w:val="22"/>
                <w:szCs w:val="22"/>
                <w:lang w:eastAsia="en-US"/>
              </w:rPr>
            </w:pPr>
          </w:p>
          <w:p w14:paraId="070E11B7" w14:textId="4B354FF0" w:rsidR="00991A4A" w:rsidRDefault="00991A4A" w:rsidP="00991A4A">
            <w:pPr>
              <w:spacing w:line="276" w:lineRule="auto"/>
              <w:jc w:val="both"/>
              <w:rPr>
                <w:rFonts w:ascii="Arial" w:hAnsi="Arial" w:cs="Arial"/>
                <w:sz w:val="22"/>
                <w:szCs w:val="22"/>
                <w:lang w:eastAsia="en-US"/>
              </w:rPr>
            </w:pPr>
            <w:r w:rsidRPr="00380A56">
              <w:rPr>
                <w:rFonts w:ascii="Arial" w:hAnsi="Arial" w:cs="Arial"/>
                <w:b/>
                <w:sz w:val="22"/>
                <w:szCs w:val="22"/>
                <w:lang w:eastAsia="en-US"/>
              </w:rPr>
              <w:t xml:space="preserve">Recommendation </w:t>
            </w:r>
            <w:r>
              <w:rPr>
                <w:rFonts w:ascii="Arial" w:hAnsi="Arial" w:cs="Arial"/>
                <w:b/>
                <w:sz w:val="22"/>
                <w:szCs w:val="22"/>
                <w:lang w:eastAsia="en-US"/>
              </w:rPr>
              <w:t>10</w:t>
            </w:r>
            <w:r w:rsidRPr="00380A56">
              <w:rPr>
                <w:rFonts w:ascii="Arial" w:hAnsi="Arial" w:cs="Arial"/>
                <w:b/>
                <w:sz w:val="22"/>
                <w:szCs w:val="22"/>
                <w:lang w:eastAsia="en-US"/>
              </w:rPr>
              <w:t>:</w:t>
            </w:r>
            <w:r>
              <w:rPr>
                <w:rFonts w:ascii="Arial" w:hAnsi="Arial" w:cs="Arial"/>
                <w:sz w:val="22"/>
                <w:szCs w:val="22"/>
                <w:lang w:eastAsia="en-US"/>
              </w:rPr>
              <w:t xml:space="preserve"> Amend </w:t>
            </w:r>
            <w:r w:rsidRPr="0042076F">
              <w:rPr>
                <w:rFonts w:ascii="Arial" w:hAnsi="Arial" w:cs="Arial"/>
                <w:i/>
                <w:sz w:val="22"/>
                <w:szCs w:val="22"/>
              </w:rPr>
              <w:t>ss156A, 156B, 175AB and 175AC</w:t>
            </w:r>
            <w:r>
              <w:rPr>
                <w:rFonts w:ascii="Arial" w:hAnsi="Arial" w:cs="Arial"/>
                <w:sz w:val="22"/>
                <w:szCs w:val="22"/>
                <w:lang w:eastAsia="en-US"/>
              </w:rPr>
              <w:t xml:space="preserve"> to provide that a </w:t>
            </w:r>
            <w:r w:rsidRPr="0042076F">
              <w:rPr>
                <w:rFonts w:ascii="Arial" w:hAnsi="Arial" w:cs="Arial"/>
                <w:sz w:val="22"/>
                <w:szCs w:val="22"/>
                <w:lang w:eastAsia="en-US"/>
              </w:rPr>
              <w:t xml:space="preserve">debtor </w:t>
            </w:r>
            <w:r>
              <w:rPr>
                <w:rFonts w:ascii="Arial" w:hAnsi="Arial" w:cs="Arial"/>
                <w:sz w:val="22"/>
                <w:szCs w:val="22"/>
                <w:lang w:eastAsia="en-US"/>
              </w:rPr>
              <w:t xml:space="preserve">is </w:t>
            </w:r>
            <w:r w:rsidRPr="0042076F">
              <w:rPr>
                <w:rFonts w:ascii="Arial" w:hAnsi="Arial" w:cs="Arial"/>
                <w:sz w:val="22"/>
                <w:szCs w:val="22"/>
                <w:lang w:eastAsia="en-US"/>
              </w:rPr>
              <w:t xml:space="preserve">not be liable for future payments and </w:t>
            </w:r>
            <w:r>
              <w:rPr>
                <w:rFonts w:ascii="Arial" w:hAnsi="Arial" w:cs="Arial"/>
                <w:sz w:val="22"/>
                <w:szCs w:val="22"/>
                <w:lang w:eastAsia="en-US"/>
              </w:rPr>
              <w:t>is</w:t>
            </w:r>
            <w:r w:rsidRPr="0042076F">
              <w:rPr>
                <w:rFonts w:ascii="Arial" w:hAnsi="Arial" w:cs="Arial"/>
                <w:sz w:val="22"/>
                <w:szCs w:val="22"/>
                <w:lang w:eastAsia="en-US"/>
              </w:rPr>
              <w:t xml:space="preserve"> entitled to recover any amounts already paid under the </w:t>
            </w:r>
            <w:r>
              <w:rPr>
                <w:rFonts w:ascii="Arial" w:hAnsi="Arial" w:cs="Arial"/>
                <w:sz w:val="22"/>
                <w:szCs w:val="22"/>
                <w:lang w:eastAsia="en-US"/>
              </w:rPr>
              <w:t>lease in the event of a breach</w:t>
            </w:r>
            <w:r w:rsidRPr="0042076F">
              <w:rPr>
                <w:rFonts w:ascii="Arial" w:hAnsi="Arial" w:cs="Arial"/>
                <w:sz w:val="22"/>
                <w:szCs w:val="22"/>
                <w:lang w:eastAsia="en-US"/>
              </w:rPr>
              <w:t>.</w:t>
            </w:r>
          </w:p>
          <w:p w14:paraId="4B002750" w14:textId="105E958F" w:rsidR="00991A4A" w:rsidRDefault="00991A4A" w:rsidP="0042076F">
            <w:pPr>
              <w:spacing w:line="276" w:lineRule="auto"/>
              <w:jc w:val="both"/>
              <w:rPr>
                <w:rFonts w:ascii="Arial" w:hAnsi="Arial" w:cs="Arial"/>
                <w:sz w:val="22"/>
                <w:szCs w:val="22"/>
                <w:lang w:eastAsia="en-US"/>
              </w:rPr>
            </w:pPr>
          </w:p>
        </w:tc>
      </w:tr>
    </w:tbl>
    <w:p w14:paraId="70F0CC6F" w14:textId="77777777" w:rsidR="006D0F03" w:rsidRPr="0042076F" w:rsidRDefault="006D0F03" w:rsidP="0042076F">
      <w:pPr>
        <w:spacing w:line="276" w:lineRule="auto"/>
        <w:jc w:val="both"/>
        <w:rPr>
          <w:rFonts w:ascii="Arial" w:hAnsi="Arial" w:cs="Arial"/>
          <w:sz w:val="22"/>
          <w:szCs w:val="22"/>
        </w:rPr>
      </w:pPr>
    </w:p>
    <w:p w14:paraId="3E1AB5FD" w14:textId="7AB489E6" w:rsidR="00734855" w:rsidRPr="0042076F" w:rsidRDefault="00734855" w:rsidP="0042076F">
      <w:pPr>
        <w:spacing w:line="276" w:lineRule="auto"/>
        <w:jc w:val="both"/>
        <w:rPr>
          <w:rFonts w:ascii="Arial" w:hAnsi="Arial" w:cs="Arial"/>
          <w:i/>
          <w:sz w:val="22"/>
          <w:szCs w:val="22"/>
        </w:rPr>
      </w:pPr>
      <w:r w:rsidRPr="0042076F">
        <w:rPr>
          <w:rFonts w:ascii="Arial" w:hAnsi="Arial" w:cs="Arial"/>
          <w:i/>
          <w:sz w:val="22"/>
          <w:szCs w:val="22"/>
        </w:rPr>
        <w:t>Relationship with ss178, 179 and 199 of the NCCP Act</w:t>
      </w:r>
    </w:p>
    <w:p w14:paraId="59AF1E99" w14:textId="3BBEDF29" w:rsidR="00734855" w:rsidRPr="0042076F" w:rsidRDefault="00734855" w:rsidP="0042076F">
      <w:pPr>
        <w:spacing w:line="276" w:lineRule="auto"/>
        <w:jc w:val="both"/>
        <w:rPr>
          <w:rFonts w:ascii="Arial" w:hAnsi="Arial" w:cs="Arial"/>
          <w:i/>
          <w:sz w:val="22"/>
          <w:szCs w:val="22"/>
        </w:rPr>
      </w:pPr>
    </w:p>
    <w:p w14:paraId="1DB4B110" w14:textId="252139F3" w:rsidR="0042076F" w:rsidRDefault="00734855" w:rsidP="0042076F">
      <w:pPr>
        <w:spacing w:line="276" w:lineRule="auto"/>
        <w:jc w:val="both"/>
        <w:rPr>
          <w:rFonts w:ascii="Arial" w:hAnsi="Arial" w:cs="Arial"/>
          <w:sz w:val="22"/>
          <w:szCs w:val="22"/>
        </w:rPr>
      </w:pPr>
      <w:r w:rsidRPr="0042076F">
        <w:rPr>
          <w:rFonts w:ascii="Arial" w:hAnsi="Arial" w:cs="Arial"/>
          <w:sz w:val="22"/>
          <w:szCs w:val="22"/>
        </w:rPr>
        <w:t xml:space="preserve">It </w:t>
      </w:r>
      <w:r w:rsidR="00F414D2">
        <w:rPr>
          <w:rFonts w:ascii="Arial" w:hAnsi="Arial" w:cs="Arial"/>
          <w:sz w:val="22"/>
          <w:szCs w:val="22"/>
        </w:rPr>
        <w:t>appears that</w:t>
      </w:r>
      <w:r w:rsidRPr="0042076F">
        <w:rPr>
          <w:rFonts w:ascii="Arial" w:hAnsi="Arial" w:cs="Arial"/>
          <w:sz w:val="22"/>
          <w:szCs w:val="22"/>
        </w:rPr>
        <w:t xml:space="preserve"> the remedies contained in the Bill are </w:t>
      </w:r>
      <w:r w:rsidR="00F414D2">
        <w:rPr>
          <w:rFonts w:ascii="Arial" w:hAnsi="Arial" w:cs="Arial"/>
          <w:sz w:val="22"/>
          <w:szCs w:val="22"/>
        </w:rPr>
        <w:t>intended to be</w:t>
      </w:r>
      <w:r w:rsidRPr="0042076F">
        <w:rPr>
          <w:rFonts w:ascii="Arial" w:hAnsi="Arial" w:cs="Arial"/>
          <w:sz w:val="22"/>
          <w:szCs w:val="22"/>
        </w:rPr>
        <w:t xml:space="preserve"> in addition to existing remedies under the NCCP Act</w:t>
      </w:r>
      <w:r w:rsidR="00084D22">
        <w:rPr>
          <w:rFonts w:ascii="Arial" w:hAnsi="Arial" w:cs="Arial"/>
          <w:sz w:val="22"/>
          <w:szCs w:val="22"/>
        </w:rPr>
        <w:t xml:space="preserve">, which we strongly support. </w:t>
      </w:r>
      <w:r w:rsidR="00E9256F">
        <w:rPr>
          <w:rFonts w:ascii="Arial" w:hAnsi="Arial" w:cs="Arial"/>
          <w:sz w:val="22"/>
          <w:szCs w:val="22"/>
        </w:rPr>
        <w:t>However, t</w:t>
      </w:r>
      <w:r w:rsidR="00084D22">
        <w:rPr>
          <w:rFonts w:ascii="Arial" w:hAnsi="Arial" w:cs="Arial"/>
          <w:sz w:val="22"/>
          <w:szCs w:val="22"/>
        </w:rPr>
        <w:t xml:space="preserve">he current drafting of the Bill leaves it open to interpretation whether </w:t>
      </w:r>
      <w:r w:rsidRPr="0042076F">
        <w:rPr>
          <w:rFonts w:ascii="Arial" w:hAnsi="Arial" w:cs="Arial"/>
          <w:sz w:val="22"/>
          <w:szCs w:val="22"/>
        </w:rPr>
        <w:t xml:space="preserve">debtors </w:t>
      </w:r>
      <w:r w:rsidR="00084D22">
        <w:rPr>
          <w:rFonts w:ascii="Arial" w:hAnsi="Arial" w:cs="Arial"/>
          <w:sz w:val="22"/>
          <w:szCs w:val="22"/>
        </w:rPr>
        <w:t>would</w:t>
      </w:r>
      <w:r w:rsidRPr="0042076F">
        <w:rPr>
          <w:rFonts w:ascii="Arial" w:hAnsi="Arial" w:cs="Arial"/>
          <w:sz w:val="22"/>
          <w:szCs w:val="22"/>
        </w:rPr>
        <w:t xml:space="preserve"> be precluded from relying on </w:t>
      </w:r>
      <w:r w:rsidR="00E9256F">
        <w:rPr>
          <w:rFonts w:ascii="Arial" w:hAnsi="Arial" w:cs="Arial"/>
          <w:sz w:val="22"/>
          <w:szCs w:val="22"/>
        </w:rPr>
        <w:t>other remedies in</w:t>
      </w:r>
      <w:r w:rsidRPr="0042076F">
        <w:rPr>
          <w:rFonts w:ascii="Arial" w:hAnsi="Arial" w:cs="Arial"/>
          <w:sz w:val="22"/>
          <w:szCs w:val="22"/>
        </w:rPr>
        <w:t xml:space="preserve"> the NCCP Act</w:t>
      </w:r>
      <w:r w:rsidR="00E9256F">
        <w:rPr>
          <w:rFonts w:ascii="Arial" w:hAnsi="Arial" w:cs="Arial"/>
          <w:sz w:val="22"/>
          <w:szCs w:val="22"/>
        </w:rPr>
        <w:t xml:space="preserve"> (such as ss178-179)</w:t>
      </w:r>
      <w:r w:rsidRPr="0042076F">
        <w:rPr>
          <w:rFonts w:ascii="Arial" w:hAnsi="Arial" w:cs="Arial"/>
          <w:sz w:val="22"/>
          <w:szCs w:val="22"/>
        </w:rPr>
        <w:t xml:space="preserve">, </w:t>
      </w:r>
      <w:r w:rsidR="00FD2F21">
        <w:rPr>
          <w:rFonts w:ascii="Arial" w:hAnsi="Arial" w:cs="Arial"/>
          <w:sz w:val="22"/>
          <w:szCs w:val="22"/>
        </w:rPr>
        <w:t>and would instead be limited</w:t>
      </w:r>
      <w:r w:rsidRPr="0042076F">
        <w:rPr>
          <w:rFonts w:ascii="Arial" w:hAnsi="Arial" w:cs="Arial"/>
          <w:sz w:val="22"/>
          <w:szCs w:val="22"/>
        </w:rPr>
        <w:t xml:space="preserve"> to those offered in the</w:t>
      </w:r>
      <w:r w:rsidR="00084D22">
        <w:rPr>
          <w:rFonts w:ascii="Arial" w:hAnsi="Arial" w:cs="Arial"/>
          <w:sz w:val="22"/>
          <w:szCs w:val="22"/>
        </w:rPr>
        <w:t xml:space="preserve"> Bill.</w:t>
      </w:r>
      <w:r w:rsidR="00F414D2">
        <w:rPr>
          <w:rFonts w:ascii="Arial" w:hAnsi="Arial" w:cs="Arial"/>
          <w:sz w:val="22"/>
          <w:szCs w:val="22"/>
        </w:rPr>
        <w:t xml:space="preserve"> We recommend clarifying that the civil remedies in the Bill are standalone remedie</w:t>
      </w:r>
      <w:r w:rsidR="00084D22">
        <w:rPr>
          <w:rFonts w:ascii="Arial" w:hAnsi="Arial" w:cs="Arial"/>
          <w:sz w:val="22"/>
          <w:szCs w:val="22"/>
        </w:rPr>
        <w:t>s and causes of action</w:t>
      </w:r>
      <w:r w:rsidR="00F414D2">
        <w:rPr>
          <w:rFonts w:ascii="Arial" w:hAnsi="Arial" w:cs="Arial"/>
          <w:sz w:val="22"/>
          <w:szCs w:val="22"/>
        </w:rPr>
        <w:t xml:space="preserve">, which (for the avoidance of doubt) are in addition to those already available under the NCCP Act and </w:t>
      </w:r>
      <w:r w:rsidR="00F414D2" w:rsidRPr="00084D22">
        <w:rPr>
          <w:rFonts w:ascii="Arial" w:hAnsi="Arial" w:cs="Arial"/>
          <w:i/>
          <w:sz w:val="22"/>
          <w:szCs w:val="22"/>
        </w:rPr>
        <w:t>Nation</w:t>
      </w:r>
      <w:r w:rsidR="00084D22" w:rsidRPr="00084D22">
        <w:rPr>
          <w:rFonts w:ascii="Arial" w:hAnsi="Arial" w:cs="Arial"/>
          <w:i/>
          <w:sz w:val="22"/>
          <w:szCs w:val="22"/>
        </w:rPr>
        <w:t>al</w:t>
      </w:r>
      <w:r w:rsidR="00F414D2" w:rsidRPr="00084D22">
        <w:rPr>
          <w:rFonts w:ascii="Arial" w:hAnsi="Arial" w:cs="Arial"/>
          <w:i/>
          <w:sz w:val="22"/>
          <w:szCs w:val="22"/>
        </w:rPr>
        <w:t xml:space="preserve"> Credit Code</w:t>
      </w:r>
      <w:r w:rsidR="00F414D2">
        <w:rPr>
          <w:rFonts w:ascii="Arial" w:hAnsi="Arial" w:cs="Arial"/>
          <w:sz w:val="22"/>
          <w:szCs w:val="22"/>
        </w:rPr>
        <w:t>.</w:t>
      </w:r>
      <w:r w:rsidR="0042076F">
        <w:rPr>
          <w:rFonts w:ascii="Arial" w:hAnsi="Arial" w:cs="Arial"/>
          <w:sz w:val="22"/>
          <w:szCs w:val="22"/>
        </w:rPr>
        <w:t xml:space="preserve"> </w:t>
      </w:r>
      <w:r w:rsidR="00F414D2">
        <w:rPr>
          <w:rFonts w:ascii="Arial" w:hAnsi="Arial" w:cs="Arial"/>
          <w:sz w:val="22"/>
          <w:szCs w:val="22"/>
        </w:rPr>
        <w:t>It would also be useful to clarify any time limits that apply.</w:t>
      </w:r>
    </w:p>
    <w:p w14:paraId="4BD09B85" w14:textId="77777777" w:rsidR="0042076F" w:rsidRDefault="0042076F" w:rsidP="0042076F">
      <w:pPr>
        <w:spacing w:line="276" w:lineRule="auto"/>
        <w:jc w:val="both"/>
        <w:rPr>
          <w:rFonts w:ascii="Arial" w:hAnsi="Arial" w:cs="Arial"/>
          <w:sz w:val="22"/>
          <w:szCs w:val="22"/>
        </w:rPr>
      </w:pPr>
    </w:p>
    <w:p w14:paraId="1D482E32" w14:textId="293D08F0" w:rsidR="00991A4A" w:rsidRDefault="00734855" w:rsidP="0042076F">
      <w:pPr>
        <w:spacing w:line="276" w:lineRule="auto"/>
        <w:jc w:val="both"/>
        <w:rPr>
          <w:rFonts w:ascii="Arial" w:hAnsi="Arial" w:cs="Arial"/>
          <w:sz w:val="22"/>
          <w:szCs w:val="22"/>
        </w:rPr>
      </w:pPr>
      <w:r w:rsidRPr="0042076F">
        <w:rPr>
          <w:rFonts w:ascii="Arial" w:hAnsi="Arial" w:cs="Arial"/>
          <w:sz w:val="22"/>
          <w:szCs w:val="22"/>
        </w:rPr>
        <w:t>We also</w:t>
      </w:r>
      <w:r w:rsidR="00F414D2">
        <w:rPr>
          <w:rFonts w:ascii="Arial" w:hAnsi="Arial" w:cs="Arial"/>
          <w:sz w:val="22"/>
          <w:szCs w:val="22"/>
        </w:rPr>
        <w:t xml:space="preserve"> recommend </w:t>
      </w:r>
      <w:r w:rsidRPr="0042076F">
        <w:rPr>
          <w:rFonts w:ascii="Arial" w:hAnsi="Arial" w:cs="Arial"/>
          <w:sz w:val="22"/>
          <w:szCs w:val="22"/>
        </w:rPr>
        <w:t>s</w:t>
      </w:r>
      <w:r w:rsidR="00837942" w:rsidRPr="0042076F">
        <w:rPr>
          <w:rFonts w:ascii="Arial" w:hAnsi="Arial" w:cs="Arial"/>
          <w:sz w:val="22"/>
          <w:szCs w:val="22"/>
        </w:rPr>
        <w:t xml:space="preserve">199 </w:t>
      </w:r>
      <w:r w:rsidRPr="0042076F">
        <w:rPr>
          <w:rFonts w:ascii="Arial" w:hAnsi="Arial" w:cs="Arial"/>
          <w:sz w:val="22"/>
          <w:szCs w:val="22"/>
        </w:rPr>
        <w:t xml:space="preserve">of the NCCP Act </w:t>
      </w:r>
      <w:r w:rsidR="00837942" w:rsidRPr="0042076F">
        <w:rPr>
          <w:rFonts w:ascii="Arial" w:hAnsi="Arial" w:cs="Arial"/>
          <w:sz w:val="22"/>
          <w:szCs w:val="22"/>
        </w:rPr>
        <w:t xml:space="preserve">be amended </w:t>
      </w:r>
      <w:r w:rsidR="00F414D2">
        <w:rPr>
          <w:rFonts w:ascii="Arial" w:hAnsi="Arial" w:cs="Arial"/>
          <w:sz w:val="22"/>
          <w:szCs w:val="22"/>
        </w:rPr>
        <w:t xml:space="preserve">to </w:t>
      </w:r>
      <w:r w:rsidR="00E9256F">
        <w:rPr>
          <w:rFonts w:ascii="Arial" w:hAnsi="Arial" w:cs="Arial"/>
          <w:sz w:val="22"/>
          <w:szCs w:val="22"/>
        </w:rPr>
        <w:t>allow</w:t>
      </w:r>
      <w:r w:rsidR="00837942" w:rsidRPr="0042076F">
        <w:rPr>
          <w:rFonts w:ascii="Arial" w:hAnsi="Arial" w:cs="Arial"/>
          <w:sz w:val="22"/>
          <w:szCs w:val="22"/>
        </w:rPr>
        <w:t xml:space="preserve"> debtors </w:t>
      </w:r>
      <w:r w:rsidR="00FD2F21">
        <w:rPr>
          <w:rFonts w:ascii="Arial" w:hAnsi="Arial" w:cs="Arial"/>
          <w:sz w:val="22"/>
          <w:szCs w:val="22"/>
        </w:rPr>
        <w:t>to</w:t>
      </w:r>
      <w:r w:rsidR="00837942" w:rsidRPr="0042076F">
        <w:rPr>
          <w:rFonts w:ascii="Arial" w:hAnsi="Arial" w:cs="Arial"/>
          <w:sz w:val="22"/>
          <w:szCs w:val="22"/>
        </w:rPr>
        <w:t xml:space="preserve"> </w:t>
      </w:r>
      <w:r w:rsidR="00E9256F">
        <w:rPr>
          <w:rFonts w:ascii="Arial" w:hAnsi="Arial" w:cs="Arial"/>
          <w:sz w:val="22"/>
          <w:szCs w:val="22"/>
        </w:rPr>
        <w:t>make claims under these sections in</w:t>
      </w:r>
      <w:r w:rsidR="00837942" w:rsidRPr="0042076F">
        <w:rPr>
          <w:rFonts w:ascii="Arial" w:hAnsi="Arial" w:cs="Arial"/>
          <w:sz w:val="22"/>
          <w:szCs w:val="22"/>
        </w:rPr>
        <w:t xml:space="preserve"> the small claims court</w:t>
      </w:r>
      <w:r w:rsidRPr="0042076F">
        <w:rPr>
          <w:rFonts w:ascii="Arial" w:hAnsi="Arial" w:cs="Arial"/>
          <w:sz w:val="22"/>
          <w:szCs w:val="22"/>
        </w:rPr>
        <w:t>.</w:t>
      </w:r>
      <w:r w:rsidR="0042076F">
        <w:rPr>
          <w:rFonts w:ascii="Arial" w:hAnsi="Arial" w:cs="Arial"/>
          <w:sz w:val="22"/>
          <w:szCs w:val="22"/>
        </w:rPr>
        <w:t xml:space="preserve"> </w:t>
      </w:r>
      <w:r w:rsidR="00E9256F">
        <w:rPr>
          <w:rFonts w:ascii="Arial" w:hAnsi="Arial" w:cs="Arial"/>
          <w:sz w:val="22"/>
          <w:szCs w:val="22"/>
        </w:rPr>
        <w:t>Ideally,</w:t>
      </w:r>
      <w:r w:rsidR="0042076F">
        <w:rPr>
          <w:rFonts w:ascii="Arial" w:hAnsi="Arial" w:cs="Arial"/>
          <w:sz w:val="22"/>
          <w:szCs w:val="22"/>
        </w:rPr>
        <w:t xml:space="preserve"> s199 </w:t>
      </w:r>
      <w:r w:rsidR="00E9256F">
        <w:rPr>
          <w:rFonts w:ascii="Arial" w:hAnsi="Arial" w:cs="Arial"/>
          <w:sz w:val="22"/>
          <w:szCs w:val="22"/>
        </w:rPr>
        <w:t xml:space="preserve">would </w:t>
      </w:r>
      <w:r w:rsidR="0042076F">
        <w:rPr>
          <w:rFonts w:ascii="Arial" w:hAnsi="Arial" w:cs="Arial"/>
          <w:sz w:val="22"/>
          <w:szCs w:val="22"/>
        </w:rPr>
        <w:t xml:space="preserve">be amended </w:t>
      </w:r>
      <w:r w:rsidR="00E9256F">
        <w:rPr>
          <w:rFonts w:ascii="Arial" w:hAnsi="Arial" w:cs="Arial"/>
          <w:sz w:val="22"/>
          <w:szCs w:val="22"/>
        </w:rPr>
        <w:t>to allow</w:t>
      </w:r>
      <w:r w:rsidR="0042076F">
        <w:rPr>
          <w:rFonts w:ascii="Arial" w:hAnsi="Arial" w:cs="Arial"/>
          <w:sz w:val="22"/>
          <w:szCs w:val="22"/>
        </w:rPr>
        <w:t xml:space="preserve"> </w:t>
      </w:r>
      <w:r w:rsidR="00991A4A">
        <w:rPr>
          <w:rFonts w:ascii="Arial" w:hAnsi="Arial" w:cs="Arial"/>
          <w:sz w:val="22"/>
          <w:szCs w:val="22"/>
        </w:rPr>
        <w:t>claims</w:t>
      </w:r>
      <w:r w:rsidR="0042076F">
        <w:rPr>
          <w:rFonts w:ascii="Arial" w:hAnsi="Arial" w:cs="Arial"/>
          <w:sz w:val="22"/>
          <w:szCs w:val="22"/>
        </w:rPr>
        <w:t xml:space="preserve"> arising from breaches of </w:t>
      </w:r>
      <w:r w:rsidR="00084D22">
        <w:rPr>
          <w:rFonts w:ascii="Arial" w:hAnsi="Arial" w:cs="Arial"/>
          <w:sz w:val="22"/>
          <w:szCs w:val="22"/>
        </w:rPr>
        <w:t xml:space="preserve">any </w:t>
      </w:r>
      <w:r w:rsidR="0042076F">
        <w:rPr>
          <w:rFonts w:ascii="Arial" w:hAnsi="Arial" w:cs="Arial"/>
          <w:sz w:val="22"/>
          <w:szCs w:val="22"/>
        </w:rPr>
        <w:t>provision relating to SACCs and consumer leases under the value of $40,000</w:t>
      </w:r>
      <w:r w:rsidR="00991A4A">
        <w:rPr>
          <w:rFonts w:ascii="Arial" w:hAnsi="Arial" w:cs="Arial"/>
          <w:sz w:val="22"/>
          <w:szCs w:val="22"/>
        </w:rPr>
        <w:t xml:space="preserve"> </w:t>
      </w:r>
      <w:r w:rsidR="0042076F">
        <w:rPr>
          <w:rFonts w:ascii="Arial" w:hAnsi="Arial" w:cs="Arial"/>
          <w:sz w:val="22"/>
          <w:szCs w:val="22"/>
        </w:rPr>
        <w:t xml:space="preserve">in the small claims court. </w:t>
      </w:r>
    </w:p>
    <w:p w14:paraId="23649C8F" w14:textId="77777777" w:rsidR="00991A4A" w:rsidRDefault="00991A4A" w:rsidP="0042076F">
      <w:pPr>
        <w:spacing w:line="276" w:lineRule="auto"/>
        <w:jc w:val="both"/>
        <w:rPr>
          <w:rFonts w:ascii="Arial" w:hAnsi="Arial" w:cs="Arial"/>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346"/>
      </w:tblGrid>
      <w:tr w:rsidR="00991A4A" w14:paraId="7A74CDF8" w14:textId="77777777" w:rsidTr="00991A4A">
        <w:tc>
          <w:tcPr>
            <w:tcW w:w="9346" w:type="dxa"/>
            <w:shd w:val="clear" w:color="auto" w:fill="D9D9D9" w:themeFill="background1" w:themeFillShade="D9"/>
          </w:tcPr>
          <w:p w14:paraId="15B27E5F" w14:textId="77777777" w:rsidR="00991A4A" w:rsidRDefault="00991A4A" w:rsidP="0042076F">
            <w:pPr>
              <w:spacing w:line="276" w:lineRule="auto"/>
              <w:jc w:val="both"/>
              <w:rPr>
                <w:rFonts w:ascii="Arial" w:hAnsi="Arial" w:cs="Arial"/>
                <w:sz w:val="22"/>
                <w:szCs w:val="22"/>
              </w:rPr>
            </w:pPr>
          </w:p>
          <w:p w14:paraId="6E570276" w14:textId="477E5533" w:rsidR="00991A4A" w:rsidRDefault="00991A4A" w:rsidP="00991A4A">
            <w:pPr>
              <w:spacing w:line="276" w:lineRule="auto"/>
              <w:jc w:val="both"/>
              <w:rPr>
                <w:rFonts w:ascii="Arial" w:hAnsi="Arial" w:cs="Arial"/>
                <w:sz w:val="22"/>
                <w:szCs w:val="22"/>
              </w:rPr>
            </w:pPr>
            <w:r w:rsidRPr="00991A4A">
              <w:rPr>
                <w:rFonts w:ascii="Arial" w:hAnsi="Arial" w:cs="Arial"/>
                <w:b/>
                <w:sz w:val="22"/>
                <w:szCs w:val="22"/>
              </w:rPr>
              <w:t>Recommendation 11:</w:t>
            </w:r>
            <w:r>
              <w:rPr>
                <w:rFonts w:ascii="Arial" w:hAnsi="Arial" w:cs="Arial"/>
                <w:sz w:val="22"/>
                <w:szCs w:val="22"/>
              </w:rPr>
              <w:t xml:space="preserve"> Clarify that the civil remedies in the Bill are standalone remedies and causes of action, which are available in addition to current remedies under the NCCP Act and </w:t>
            </w:r>
            <w:r w:rsidRPr="00084D22">
              <w:rPr>
                <w:rFonts w:ascii="Arial" w:hAnsi="Arial" w:cs="Arial"/>
                <w:i/>
                <w:sz w:val="22"/>
                <w:szCs w:val="22"/>
              </w:rPr>
              <w:t>National Credit Code</w:t>
            </w:r>
            <w:r>
              <w:rPr>
                <w:rFonts w:ascii="Arial" w:hAnsi="Arial" w:cs="Arial"/>
                <w:sz w:val="22"/>
                <w:szCs w:val="22"/>
              </w:rPr>
              <w:t xml:space="preserve">. </w:t>
            </w:r>
          </w:p>
          <w:p w14:paraId="54976C41" w14:textId="13E7D89A" w:rsidR="00991A4A" w:rsidRDefault="00991A4A" w:rsidP="00991A4A">
            <w:pPr>
              <w:spacing w:line="276" w:lineRule="auto"/>
              <w:jc w:val="both"/>
              <w:rPr>
                <w:rFonts w:ascii="Arial" w:hAnsi="Arial" w:cs="Arial"/>
                <w:sz w:val="22"/>
                <w:szCs w:val="22"/>
              </w:rPr>
            </w:pPr>
          </w:p>
          <w:p w14:paraId="406D4ACF" w14:textId="13DE162E" w:rsidR="00991A4A" w:rsidRDefault="00991A4A" w:rsidP="00991A4A">
            <w:pPr>
              <w:spacing w:line="276" w:lineRule="auto"/>
              <w:jc w:val="both"/>
              <w:rPr>
                <w:rFonts w:ascii="Arial" w:hAnsi="Arial" w:cs="Arial"/>
                <w:sz w:val="22"/>
                <w:szCs w:val="22"/>
              </w:rPr>
            </w:pPr>
            <w:r w:rsidRPr="00991A4A">
              <w:rPr>
                <w:rFonts w:ascii="Arial" w:hAnsi="Arial" w:cs="Arial"/>
                <w:b/>
                <w:sz w:val="22"/>
                <w:szCs w:val="22"/>
              </w:rPr>
              <w:t>Recommendation 12:</w:t>
            </w:r>
            <w:r>
              <w:rPr>
                <w:rFonts w:ascii="Arial" w:hAnsi="Arial" w:cs="Arial"/>
                <w:sz w:val="22"/>
                <w:szCs w:val="22"/>
              </w:rPr>
              <w:t xml:space="preserve"> Amend s199 of the NCCP Act to </w:t>
            </w:r>
            <w:r w:rsidR="00E9256F">
              <w:rPr>
                <w:rFonts w:ascii="Arial" w:hAnsi="Arial" w:cs="Arial"/>
                <w:sz w:val="22"/>
                <w:szCs w:val="22"/>
              </w:rPr>
              <w:t>allow</w:t>
            </w:r>
            <w:r>
              <w:rPr>
                <w:rFonts w:ascii="Arial" w:hAnsi="Arial" w:cs="Arial"/>
                <w:sz w:val="22"/>
                <w:szCs w:val="22"/>
              </w:rPr>
              <w:t xml:space="preserve"> claims arising from breaches of any provision relating to SACCs and consumer leases under the value of $40,000 in the small claims court. </w:t>
            </w:r>
          </w:p>
          <w:p w14:paraId="400E2A2D" w14:textId="190FFEE6" w:rsidR="00991A4A" w:rsidRDefault="00991A4A" w:rsidP="0042076F">
            <w:pPr>
              <w:spacing w:line="276" w:lineRule="auto"/>
              <w:jc w:val="both"/>
              <w:rPr>
                <w:rFonts w:ascii="Arial" w:hAnsi="Arial" w:cs="Arial"/>
                <w:sz w:val="22"/>
                <w:szCs w:val="22"/>
              </w:rPr>
            </w:pPr>
          </w:p>
        </w:tc>
      </w:tr>
    </w:tbl>
    <w:p w14:paraId="4E80140C" w14:textId="77777777" w:rsidR="008E5C2F" w:rsidRDefault="008E5C2F" w:rsidP="00380A56">
      <w:pPr>
        <w:spacing w:line="276" w:lineRule="auto"/>
        <w:jc w:val="both"/>
        <w:rPr>
          <w:rFonts w:ascii="Arial" w:hAnsi="Arial" w:cs="Arial"/>
          <w:i/>
          <w:sz w:val="22"/>
          <w:szCs w:val="22"/>
        </w:rPr>
      </w:pPr>
    </w:p>
    <w:p w14:paraId="2D081D84" w14:textId="4D624864" w:rsidR="00734855" w:rsidRPr="00380A56" w:rsidRDefault="00734855" w:rsidP="00380A56">
      <w:pPr>
        <w:spacing w:line="276" w:lineRule="auto"/>
        <w:jc w:val="both"/>
        <w:rPr>
          <w:rFonts w:ascii="Arial" w:hAnsi="Arial" w:cs="Arial"/>
          <w:i/>
          <w:sz w:val="22"/>
          <w:szCs w:val="22"/>
        </w:rPr>
      </w:pPr>
      <w:r w:rsidRPr="00380A56">
        <w:rPr>
          <w:rFonts w:ascii="Arial" w:hAnsi="Arial" w:cs="Arial"/>
          <w:i/>
          <w:sz w:val="22"/>
          <w:szCs w:val="22"/>
        </w:rPr>
        <w:t>Status of leased goods</w:t>
      </w:r>
    </w:p>
    <w:p w14:paraId="08F548F3" w14:textId="77777777" w:rsidR="00734855" w:rsidRPr="00380A56" w:rsidRDefault="00734855" w:rsidP="00380A56">
      <w:pPr>
        <w:spacing w:line="276" w:lineRule="auto"/>
        <w:jc w:val="both"/>
        <w:rPr>
          <w:rFonts w:ascii="Arial" w:hAnsi="Arial" w:cs="Arial"/>
          <w:i/>
          <w:sz w:val="22"/>
          <w:szCs w:val="22"/>
        </w:rPr>
      </w:pPr>
    </w:p>
    <w:p w14:paraId="6663E78E" w14:textId="7F39304B" w:rsidR="00387F95" w:rsidRDefault="00734855" w:rsidP="00380A56">
      <w:pPr>
        <w:spacing w:line="276" w:lineRule="auto"/>
        <w:jc w:val="both"/>
        <w:rPr>
          <w:rFonts w:ascii="Arial" w:hAnsi="Arial" w:cs="Arial"/>
          <w:sz w:val="22"/>
          <w:szCs w:val="22"/>
        </w:rPr>
      </w:pPr>
      <w:r w:rsidRPr="00380A56">
        <w:rPr>
          <w:rFonts w:ascii="Arial" w:hAnsi="Arial" w:cs="Arial"/>
          <w:sz w:val="22"/>
          <w:szCs w:val="22"/>
        </w:rPr>
        <w:t xml:space="preserve">The status of leased goods </w:t>
      </w:r>
      <w:r w:rsidR="00FD2F21" w:rsidRPr="00380A56">
        <w:rPr>
          <w:rFonts w:ascii="Arial" w:hAnsi="Arial" w:cs="Arial"/>
          <w:sz w:val="22"/>
          <w:szCs w:val="22"/>
        </w:rPr>
        <w:t xml:space="preserve">in the event of a breach </w:t>
      </w:r>
      <w:r w:rsidRPr="00380A56">
        <w:rPr>
          <w:rFonts w:ascii="Arial" w:hAnsi="Arial" w:cs="Arial"/>
          <w:sz w:val="22"/>
          <w:szCs w:val="22"/>
        </w:rPr>
        <w:t>is not addressed in the civil remed</w:t>
      </w:r>
      <w:r w:rsidR="00E9256F">
        <w:rPr>
          <w:rFonts w:ascii="Arial" w:hAnsi="Arial" w:cs="Arial"/>
          <w:sz w:val="22"/>
          <w:szCs w:val="22"/>
        </w:rPr>
        <w:t>y</w:t>
      </w:r>
      <w:r w:rsidRPr="00380A56">
        <w:rPr>
          <w:rFonts w:ascii="Arial" w:hAnsi="Arial" w:cs="Arial"/>
          <w:sz w:val="22"/>
          <w:szCs w:val="22"/>
        </w:rPr>
        <w:t xml:space="preserve"> provisions relating to consumer leases.</w:t>
      </w:r>
      <w:r w:rsidR="00387F95">
        <w:rPr>
          <w:rFonts w:ascii="Arial" w:hAnsi="Arial" w:cs="Arial"/>
          <w:sz w:val="22"/>
          <w:szCs w:val="22"/>
        </w:rPr>
        <w:t xml:space="preserve"> As the Bill is effectively creating a new regime for consumer leases of household goods, we recommend more detailed redress provisions t</w:t>
      </w:r>
      <w:r w:rsidR="00E9256F">
        <w:rPr>
          <w:rFonts w:ascii="Arial" w:hAnsi="Arial" w:cs="Arial"/>
          <w:sz w:val="22"/>
          <w:szCs w:val="22"/>
        </w:rPr>
        <w:t>hat deal with the ownership and</w:t>
      </w:r>
      <w:r w:rsidR="00387F95">
        <w:rPr>
          <w:rFonts w:ascii="Arial" w:hAnsi="Arial" w:cs="Arial"/>
          <w:sz w:val="22"/>
          <w:szCs w:val="22"/>
        </w:rPr>
        <w:t xml:space="preserve"> delivery of goods in the event of the breach. </w:t>
      </w:r>
      <w:r w:rsidR="003243CB">
        <w:rPr>
          <w:rFonts w:ascii="Arial" w:hAnsi="Arial" w:cs="Arial"/>
          <w:sz w:val="22"/>
          <w:szCs w:val="22"/>
        </w:rPr>
        <w:t xml:space="preserve">Debtors should be given the option to retain the goods or return the goods to </w:t>
      </w:r>
      <w:r w:rsidR="00DD56B1">
        <w:rPr>
          <w:rFonts w:ascii="Arial" w:hAnsi="Arial" w:cs="Arial"/>
          <w:sz w:val="22"/>
          <w:szCs w:val="22"/>
        </w:rPr>
        <w:t>the lessor, which would broadly align</w:t>
      </w:r>
      <w:r w:rsidR="003243CB">
        <w:rPr>
          <w:rFonts w:ascii="Arial" w:hAnsi="Arial" w:cs="Arial"/>
          <w:sz w:val="22"/>
          <w:szCs w:val="22"/>
        </w:rPr>
        <w:t xml:space="preserve"> with the redress available under ss178 and 177(g) of the NCCP Act for other causes of action. </w:t>
      </w:r>
    </w:p>
    <w:p w14:paraId="5CD4213D" w14:textId="77777777" w:rsidR="00387F95" w:rsidRDefault="00387F95" w:rsidP="00380A56">
      <w:pPr>
        <w:spacing w:line="276" w:lineRule="auto"/>
        <w:jc w:val="both"/>
        <w:rPr>
          <w:rFonts w:ascii="Arial" w:hAnsi="Arial" w:cs="Arial"/>
          <w:sz w:val="22"/>
          <w:szCs w:val="22"/>
        </w:rPr>
      </w:pPr>
    </w:p>
    <w:p w14:paraId="0B52C41E" w14:textId="4B06661F" w:rsidR="00380A56" w:rsidRPr="00380A56" w:rsidRDefault="00E9256F" w:rsidP="003243CB">
      <w:pPr>
        <w:spacing w:line="276" w:lineRule="auto"/>
        <w:jc w:val="both"/>
        <w:rPr>
          <w:rFonts w:ascii="Arial" w:hAnsi="Arial" w:cs="Arial"/>
          <w:sz w:val="22"/>
          <w:szCs w:val="22"/>
        </w:rPr>
      </w:pPr>
      <w:r>
        <w:rPr>
          <w:rFonts w:ascii="Arial" w:hAnsi="Arial" w:cs="Arial"/>
          <w:sz w:val="22"/>
          <w:szCs w:val="22"/>
        </w:rPr>
        <w:t>T</w:t>
      </w:r>
      <w:r w:rsidR="003243CB">
        <w:rPr>
          <w:rFonts w:ascii="Arial" w:hAnsi="Arial" w:cs="Arial"/>
          <w:sz w:val="22"/>
          <w:szCs w:val="22"/>
        </w:rPr>
        <w:t xml:space="preserve">he </w:t>
      </w:r>
      <w:r w:rsidR="00380A56" w:rsidRPr="00380A56">
        <w:rPr>
          <w:rFonts w:ascii="Arial" w:hAnsi="Arial" w:cs="Arial"/>
          <w:sz w:val="22"/>
          <w:szCs w:val="22"/>
        </w:rPr>
        <w:t>Australian Consumer Law provisions relating to the ownership of unsolicited goods</w:t>
      </w:r>
      <w:r w:rsidR="003243CB">
        <w:rPr>
          <w:rFonts w:ascii="Arial" w:hAnsi="Arial" w:cs="Arial"/>
          <w:sz w:val="22"/>
          <w:szCs w:val="22"/>
        </w:rPr>
        <w:t>, which provides consumers with the option to return t</w:t>
      </w:r>
      <w:r w:rsidR="009C0918">
        <w:rPr>
          <w:rFonts w:ascii="Arial" w:hAnsi="Arial" w:cs="Arial"/>
          <w:sz w:val="22"/>
          <w:szCs w:val="22"/>
        </w:rPr>
        <w:t>he</w:t>
      </w:r>
      <w:r w:rsidR="003243CB">
        <w:rPr>
          <w:rFonts w:ascii="Arial" w:hAnsi="Arial" w:cs="Arial"/>
          <w:sz w:val="22"/>
          <w:szCs w:val="22"/>
        </w:rPr>
        <w:t xml:space="preserve"> goods or notify the business of a collection address</w:t>
      </w:r>
      <w:r>
        <w:rPr>
          <w:rFonts w:ascii="Arial" w:hAnsi="Arial" w:cs="Arial"/>
          <w:sz w:val="22"/>
          <w:szCs w:val="22"/>
        </w:rPr>
        <w:t>, could provide drafting guidance.</w:t>
      </w:r>
      <w:r w:rsidR="00380A56" w:rsidRPr="00380A56">
        <w:rPr>
          <w:rStyle w:val="FootnoteReference"/>
          <w:rFonts w:ascii="Arial" w:hAnsi="Arial" w:cs="Arial"/>
          <w:sz w:val="22"/>
          <w:szCs w:val="22"/>
        </w:rPr>
        <w:footnoteReference w:id="34"/>
      </w:r>
      <w:r w:rsidR="003243CB">
        <w:rPr>
          <w:rFonts w:ascii="Arial" w:hAnsi="Arial" w:cs="Arial"/>
          <w:sz w:val="22"/>
          <w:szCs w:val="22"/>
        </w:rPr>
        <w:t xml:space="preserve"> </w:t>
      </w:r>
    </w:p>
    <w:p w14:paraId="0B1BED6F" w14:textId="40E474DF" w:rsidR="00991A4A" w:rsidRDefault="00991A4A" w:rsidP="00380A56">
      <w:pPr>
        <w:spacing w:line="276" w:lineRule="auto"/>
        <w:jc w:val="both"/>
        <w:rPr>
          <w:rFonts w:ascii="Arial" w:hAnsi="Arial" w:cs="Arial"/>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346"/>
      </w:tblGrid>
      <w:tr w:rsidR="00991A4A" w14:paraId="6F62E614" w14:textId="77777777" w:rsidTr="003243CB">
        <w:tc>
          <w:tcPr>
            <w:tcW w:w="9346" w:type="dxa"/>
            <w:shd w:val="clear" w:color="auto" w:fill="D9D9D9" w:themeFill="background1" w:themeFillShade="D9"/>
          </w:tcPr>
          <w:p w14:paraId="784CB7EF" w14:textId="77777777" w:rsidR="00991A4A" w:rsidRDefault="00991A4A" w:rsidP="00380A56">
            <w:pPr>
              <w:spacing w:line="276" w:lineRule="auto"/>
              <w:jc w:val="both"/>
              <w:rPr>
                <w:rFonts w:ascii="Arial" w:hAnsi="Arial" w:cs="Arial"/>
                <w:sz w:val="22"/>
                <w:szCs w:val="22"/>
              </w:rPr>
            </w:pPr>
          </w:p>
          <w:p w14:paraId="4D56B0D5" w14:textId="2C2FCACE" w:rsidR="00991A4A" w:rsidRDefault="00991A4A" w:rsidP="00380A56">
            <w:pPr>
              <w:spacing w:line="276" w:lineRule="auto"/>
              <w:jc w:val="both"/>
              <w:rPr>
                <w:rFonts w:ascii="Arial" w:hAnsi="Arial" w:cs="Arial"/>
                <w:sz w:val="22"/>
                <w:szCs w:val="22"/>
              </w:rPr>
            </w:pPr>
            <w:r>
              <w:rPr>
                <w:rFonts w:ascii="Arial" w:hAnsi="Arial" w:cs="Arial"/>
                <w:b/>
                <w:sz w:val="22"/>
                <w:szCs w:val="22"/>
              </w:rPr>
              <w:t xml:space="preserve">Recommendation 13: </w:t>
            </w:r>
            <w:r w:rsidR="003243CB" w:rsidRPr="003243CB">
              <w:rPr>
                <w:rFonts w:ascii="Arial" w:hAnsi="Arial" w:cs="Arial"/>
                <w:sz w:val="22"/>
                <w:szCs w:val="22"/>
              </w:rPr>
              <w:t>Provide</w:t>
            </w:r>
            <w:r w:rsidR="003243CB">
              <w:rPr>
                <w:rFonts w:ascii="Arial" w:hAnsi="Arial" w:cs="Arial"/>
                <w:b/>
                <w:sz w:val="22"/>
                <w:szCs w:val="22"/>
              </w:rPr>
              <w:t xml:space="preserve"> </w:t>
            </w:r>
            <w:r w:rsidR="003243CB">
              <w:rPr>
                <w:rFonts w:ascii="Arial" w:hAnsi="Arial" w:cs="Arial"/>
                <w:sz w:val="22"/>
                <w:szCs w:val="22"/>
              </w:rPr>
              <w:t xml:space="preserve">more detailed redress provisions that </w:t>
            </w:r>
            <w:r w:rsidR="00E9256F">
              <w:rPr>
                <w:rFonts w:ascii="Arial" w:hAnsi="Arial" w:cs="Arial"/>
                <w:sz w:val="22"/>
                <w:szCs w:val="22"/>
              </w:rPr>
              <w:t>deal with the ownership and</w:t>
            </w:r>
            <w:r w:rsidR="003243CB">
              <w:rPr>
                <w:rFonts w:ascii="Arial" w:hAnsi="Arial" w:cs="Arial"/>
                <w:sz w:val="22"/>
                <w:szCs w:val="22"/>
              </w:rPr>
              <w:t xml:space="preserve"> delivery of goods in the event of the breach.</w:t>
            </w:r>
          </w:p>
          <w:p w14:paraId="1C226AAB" w14:textId="6B12DA89" w:rsidR="003243CB" w:rsidRPr="00991A4A" w:rsidRDefault="003243CB" w:rsidP="00380A56">
            <w:pPr>
              <w:spacing w:line="276" w:lineRule="auto"/>
              <w:jc w:val="both"/>
              <w:rPr>
                <w:rFonts w:ascii="Arial" w:hAnsi="Arial" w:cs="Arial"/>
                <w:sz w:val="22"/>
                <w:szCs w:val="22"/>
              </w:rPr>
            </w:pPr>
          </w:p>
        </w:tc>
      </w:tr>
    </w:tbl>
    <w:p w14:paraId="37FA85C3" w14:textId="77777777" w:rsidR="00991A4A" w:rsidRPr="00380A56" w:rsidRDefault="00991A4A" w:rsidP="00380A56">
      <w:pPr>
        <w:spacing w:line="276" w:lineRule="auto"/>
        <w:jc w:val="both"/>
        <w:rPr>
          <w:rFonts w:ascii="Arial" w:hAnsi="Arial" w:cs="Arial"/>
          <w:sz w:val="22"/>
          <w:szCs w:val="22"/>
        </w:rPr>
      </w:pPr>
    </w:p>
    <w:p w14:paraId="5E3F5661" w14:textId="7F12804E" w:rsidR="00FD2F21" w:rsidRDefault="00FD2F21" w:rsidP="0042076F">
      <w:pPr>
        <w:spacing w:line="276" w:lineRule="auto"/>
        <w:jc w:val="both"/>
        <w:rPr>
          <w:rFonts w:ascii="Arial" w:hAnsi="Arial" w:cs="Arial"/>
          <w:i/>
          <w:sz w:val="22"/>
          <w:szCs w:val="22"/>
        </w:rPr>
      </w:pPr>
      <w:r>
        <w:rPr>
          <w:rFonts w:ascii="Arial" w:hAnsi="Arial" w:cs="Arial"/>
          <w:i/>
          <w:sz w:val="22"/>
          <w:szCs w:val="22"/>
        </w:rPr>
        <w:t xml:space="preserve">Loss of charges under Items 22 and 62 (s133CG and 179VB) </w:t>
      </w:r>
    </w:p>
    <w:p w14:paraId="644EED15" w14:textId="70898FCD" w:rsidR="00FD2F21" w:rsidRDefault="00FD2F21" w:rsidP="0042076F">
      <w:pPr>
        <w:spacing w:line="276" w:lineRule="auto"/>
        <w:jc w:val="both"/>
        <w:rPr>
          <w:rFonts w:ascii="Arial" w:hAnsi="Arial" w:cs="Arial"/>
          <w:i/>
          <w:sz w:val="22"/>
          <w:szCs w:val="22"/>
        </w:rPr>
      </w:pPr>
    </w:p>
    <w:p w14:paraId="376292D6" w14:textId="162042A8" w:rsidR="00FD2F21" w:rsidRDefault="00FD2F21" w:rsidP="0042076F">
      <w:pPr>
        <w:spacing w:line="276" w:lineRule="auto"/>
        <w:jc w:val="both"/>
        <w:rPr>
          <w:rFonts w:ascii="Arial" w:hAnsi="Arial" w:cs="Arial"/>
          <w:sz w:val="22"/>
          <w:szCs w:val="22"/>
        </w:rPr>
      </w:pPr>
      <w:r>
        <w:rPr>
          <w:rFonts w:ascii="Arial" w:hAnsi="Arial" w:cs="Arial"/>
          <w:sz w:val="22"/>
          <w:szCs w:val="22"/>
        </w:rPr>
        <w:t>Further to our comments on page</w:t>
      </w:r>
      <w:r w:rsidR="008144E9">
        <w:rPr>
          <w:rFonts w:ascii="Arial" w:hAnsi="Arial" w:cs="Arial"/>
          <w:sz w:val="22"/>
          <w:szCs w:val="22"/>
        </w:rPr>
        <w:t xml:space="preserve"> 5, </w:t>
      </w:r>
      <w:r>
        <w:rPr>
          <w:rFonts w:ascii="Arial" w:hAnsi="Arial" w:cs="Arial"/>
          <w:sz w:val="22"/>
          <w:szCs w:val="22"/>
        </w:rPr>
        <w:t xml:space="preserve">we note that ss133CG and 179VB would require a debtor to prove both knowledge of the licensee and that a ‘reasonable person’ would conclude the consumer entered into the contract because of the unsolicited invitation. The equivalent provisions in the Australian Consumer Law relating to unsolicited sales do not require knowledge or reliance on the part of the consumer. We consider this to be an unreasonably high evidential barrier for a consumer, and recommend removing these requirements to ensure consistency and fairness.  In the alternative, we recommend reversing the onus of proof in relation to knowledge and reliance </w:t>
      </w:r>
      <w:r w:rsidR="00E82C47">
        <w:rPr>
          <w:rFonts w:ascii="Arial" w:hAnsi="Arial" w:cs="Arial"/>
          <w:sz w:val="22"/>
          <w:szCs w:val="22"/>
        </w:rPr>
        <w:t xml:space="preserve">elements of the provisions. </w:t>
      </w:r>
    </w:p>
    <w:p w14:paraId="780318FB" w14:textId="74030432" w:rsidR="003243CB" w:rsidRDefault="003243CB" w:rsidP="0042076F">
      <w:pPr>
        <w:spacing w:line="276" w:lineRule="auto"/>
        <w:jc w:val="both"/>
        <w:rPr>
          <w:rFonts w:ascii="Arial" w:hAnsi="Arial" w:cs="Arial"/>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346"/>
      </w:tblGrid>
      <w:tr w:rsidR="003243CB" w14:paraId="0928FA18" w14:textId="77777777" w:rsidTr="003243CB">
        <w:tc>
          <w:tcPr>
            <w:tcW w:w="9346" w:type="dxa"/>
            <w:shd w:val="clear" w:color="auto" w:fill="D9D9D9" w:themeFill="background1" w:themeFillShade="D9"/>
          </w:tcPr>
          <w:p w14:paraId="7B7AB9E0" w14:textId="77777777" w:rsidR="003243CB" w:rsidRDefault="003243CB" w:rsidP="0042076F">
            <w:pPr>
              <w:spacing w:line="276" w:lineRule="auto"/>
              <w:jc w:val="both"/>
              <w:rPr>
                <w:rFonts w:ascii="Arial" w:hAnsi="Arial" w:cs="Arial"/>
                <w:sz w:val="22"/>
                <w:szCs w:val="22"/>
              </w:rPr>
            </w:pPr>
          </w:p>
          <w:p w14:paraId="214084C0" w14:textId="0B7A5395" w:rsidR="003243CB" w:rsidRDefault="003243CB" w:rsidP="0042076F">
            <w:pPr>
              <w:spacing w:line="276" w:lineRule="auto"/>
              <w:jc w:val="both"/>
              <w:rPr>
                <w:rFonts w:ascii="Arial" w:hAnsi="Arial" w:cs="Arial"/>
                <w:sz w:val="22"/>
                <w:szCs w:val="22"/>
              </w:rPr>
            </w:pPr>
            <w:r w:rsidRPr="003243CB">
              <w:rPr>
                <w:rFonts w:ascii="Arial" w:hAnsi="Arial" w:cs="Arial"/>
                <w:b/>
                <w:sz w:val="22"/>
                <w:szCs w:val="22"/>
              </w:rPr>
              <w:t>Recommendation 14:</w:t>
            </w:r>
            <w:r>
              <w:rPr>
                <w:rFonts w:ascii="Arial" w:hAnsi="Arial" w:cs="Arial"/>
                <w:sz w:val="22"/>
                <w:szCs w:val="22"/>
              </w:rPr>
              <w:t xml:space="preserve"> Remove requirements under ss133CG and 179VB to prove knowledge of the licensee and that a ‘reasonable person’ would conclude the consumer entered into the contract because of the unsolicited invitation in a claim. In the alternative, we recommend reversing the onus of proof in relation to knowledge and reliance elements of the provisions. </w:t>
            </w:r>
          </w:p>
          <w:p w14:paraId="2A7FF00D" w14:textId="1AC8B7D1" w:rsidR="003243CB" w:rsidRDefault="003243CB" w:rsidP="0042076F">
            <w:pPr>
              <w:spacing w:line="276" w:lineRule="auto"/>
              <w:jc w:val="both"/>
              <w:rPr>
                <w:rFonts w:ascii="Arial" w:hAnsi="Arial" w:cs="Arial"/>
                <w:sz w:val="22"/>
                <w:szCs w:val="22"/>
              </w:rPr>
            </w:pPr>
          </w:p>
        </w:tc>
      </w:tr>
    </w:tbl>
    <w:p w14:paraId="2BAE86AE" w14:textId="58C632C8" w:rsidR="005C738E" w:rsidRDefault="005C738E" w:rsidP="00092F84">
      <w:pPr>
        <w:spacing w:line="276" w:lineRule="auto"/>
        <w:jc w:val="both"/>
        <w:rPr>
          <w:rFonts w:ascii="Arial" w:hAnsi="Arial" w:cs="Arial"/>
          <w:sz w:val="22"/>
          <w:szCs w:val="22"/>
        </w:rPr>
      </w:pPr>
    </w:p>
    <w:p w14:paraId="5BA6A95C" w14:textId="7CF4E5FA" w:rsidR="00801944" w:rsidRPr="007D42D6" w:rsidRDefault="00C90FB0" w:rsidP="007D42D6">
      <w:pPr>
        <w:spacing w:line="276" w:lineRule="auto"/>
        <w:jc w:val="both"/>
        <w:rPr>
          <w:rFonts w:ascii="Arial" w:hAnsi="Arial" w:cs="Arial"/>
          <w:b/>
          <w:sz w:val="22"/>
          <w:szCs w:val="22"/>
        </w:rPr>
      </w:pPr>
      <w:r w:rsidRPr="007D42D6">
        <w:rPr>
          <w:rFonts w:ascii="Arial" w:hAnsi="Arial" w:cs="Arial"/>
          <w:b/>
          <w:sz w:val="22"/>
          <w:szCs w:val="22"/>
        </w:rPr>
        <w:t>Item 38 – Anti-a</w:t>
      </w:r>
      <w:r w:rsidR="00801944" w:rsidRPr="007D42D6">
        <w:rPr>
          <w:rFonts w:ascii="Arial" w:hAnsi="Arial" w:cs="Arial"/>
          <w:b/>
          <w:sz w:val="22"/>
          <w:szCs w:val="22"/>
        </w:rPr>
        <w:t>voidance</w:t>
      </w:r>
    </w:p>
    <w:p w14:paraId="271755D5" w14:textId="28BA946B" w:rsidR="00801944" w:rsidRPr="007D42D6" w:rsidRDefault="00801944" w:rsidP="007D42D6">
      <w:pPr>
        <w:spacing w:line="276" w:lineRule="auto"/>
        <w:jc w:val="both"/>
        <w:rPr>
          <w:rFonts w:ascii="Arial" w:hAnsi="Arial" w:cs="Arial"/>
          <w:b/>
          <w:sz w:val="22"/>
          <w:szCs w:val="22"/>
        </w:rPr>
      </w:pPr>
    </w:p>
    <w:p w14:paraId="35955E6D" w14:textId="77777777" w:rsidR="00E31939" w:rsidRPr="007D42D6" w:rsidRDefault="00E31939" w:rsidP="007D42D6">
      <w:pPr>
        <w:spacing w:line="276" w:lineRule="auto"/>
        <w:jc w:val="both"/>
        <w:rPr>
          <w:rFonts w:ascii="Arial" w:hAnsi="Arial" w:cs="Arial"/>
          <w:sz w:val="22"/>
          <w:szCs w:val="22"/>
        </w:rPr>
      </w:pPr>
      <w:r w:rsidRPr="007D42D6">
        <w:rPr>
          <w:rFonts w:ascii="Arial" w:hAnsi="Arial" w:cs="Arial"/>
          <w:sz w:val="22"/>
          <w:szCs w:val="22"/>
        </w:rPr>
        <w:t xml:space="preserve">There has been a long and consistent history of attempted avoidance of credit legislation, particularly in relation to cost caps. Prior to the enactment of the national credit law, consumer advocates documented at least nine avoidance mechanisms in NSW alone, some of which were closed down by specific amendment only to be replaced by the next innovative scheme. </w:t>
      </w:r>
    </w:p>
    <w:p w14:paraId="1DADBA25" w14:textId="77777777" w:rsidR="00E31939" w:rsidRPr="007D42D6" w:rsidRDefault="00E31939" w:rsidP="007D42D6">
      <w:pPr>
        <w:spacing w:line="276" w:lineRule="auto"/>
        <w:jc w:val="both"/>
        <w:rPr>
          <w:rFonts w:ascii="Arial" w:hAnsi="Arial" w:cs="Arial"/>
          <w:sz w:val="22"/>
          <w:szCs w:val="22"/>
        </w:rPr>
      </w:pPr>
    </w:p>
    <w:p w14:paraId="0211669C" w14:textId="0D7B9647" w:rsidR="00E31939" w:rsidRPr="007D42D6" w:rsidRDefault="00E31939" w:rsidP="007D42D6">
      <w:pPr>
        <w:spacing w:line="276" w:lineRule="auto"/>
        <w:jc w:val="both"/>
        <w:rPr>
          <w:rFonts w:ascii="Arial" w:hAnsi="Arial" w:cs="Arial"/>
          <w:sz w:val="22"/>
          <w:szCs w:val="22"/>
        </w:rPr>
      </w:pPr>
      <w:r w:rsidRPr="007D42D6">
        <w:rPr>
          <w:rFonts w:ascii="Arial" w:hAnsi="Arial" w:cs="Arial"/>
          <w:sz w:val="22"/>
          <w:szCs w:val="22"/>
        </w:rPr>
        <w:t>While the national</w:t>
      </w:r>
      <w:r w:rsidR="007D42D6">
        <w:rPr>
          <w:rFonts w:ascii="Arial" w:hAnsi="Arial" w:cs="Arial"/>
          <w:sz w:val="22"/>
          <w:szCs w:val="22"/>
        </w:rPr>
        <w:t xml:space="preserve"> credit</w:t>
      </w:r>
      <w:r w:rsidRPr="007D42D6">
        <w:rPr>
          <w:rFonts w:ascii="Arial" w:hAnsi="Arial" w:cs="Arial"/>
          <w:sz w:val="22"/>
          <w:szCs w:val="22"/>
        </w:rPr>
        <w:t xml:space="preserve"> law has seen some reduction in this activity, we continue to see cases where lenders and their associates structure their business arrangements with clear intent to avoid the law – both the caps on costs</w:t>
      </w:r>
      <w:r w:rsidR="00DD56B1">
        <w:rPr>
          <w:rFonts w:ascii="Arial" w:hAnsi="Arial" w:cs="Arial"/>
          <w:sz w:val="22"/>
          <w:szCs w:val="22"/>
        </w:rPr>
        <w:t>, and the general and SACC-</w:t>
      </w:r>
      <w:r w:rsidRPr="007D42D6">
        <w:rPr>
          <w:rFonts w:ascii="Arial" w:hAnsi="Arial" w:cs="Arial"/>
          <w:sz w:val="22"/>
          <w:szCs w:val="22"/>
        </w:rPr>
        <w:t xml:space="preserve">specific responsible lending obligations. With the introduction of a cap on the cost of consumer leases and the tightening of the applicable responsible lending provisions, we anticipate an increase in avoidance behaviour in this space also – indeed the consumer lease market has long operated at least in part as legal avoidance of the cost caps and more stringent responsible lending provisions that applied to SACCs. </w:t>
      </w:r>
    </w:p>
    <w:p w14:paraId="69F975D8" w14:textId="77777777" w:rsidR="00E31939" w:rsidRPr="007D42D6" w:rsidRDefault="00E31939" w:rsidP="007D42D6">
      <w:pPr>
        <w:spacing w:line="276" w:lineRule="auto"/>
        <w:jc w:val="both"/>
        <w:rPr>
          <w:rFonts w:ascii="Arial" w:hAnsi="Arial" w:cs="Arial"/>
          <w:sz w:val="22"/>
          <w:szCs w:val="22"/>
        </w:rPr>
      </w:pPr>
    </w:p>
    <w:p w14:paraId="709A2524" w14:textId="79A8B986" w:rsidR="00E31939" w:rsidRPr="007D42D6" w:rsidRDefault="00E31939" w:rsidP="007D42D6">
      <w:pPr>
        <w:spacing w:line="276" w:lineRule="auto"/>
        <w:jc w:val="both"/>
        <w:rPr>
          <w:rFonts w:ascii="Arial" w:hAnsi="Arial" w:cs="Arial"/>
          <w:sz w:val="22"/>
          <w:szCs w:val="22"/>
        </w:rPr>
      </w:pPr>
      <w:r w:rsidRPr="007D42D6">
        <w:rPr>
          <w:rFonts w:ascii="Arial" w:hAnsi="Arial" w:cs="Arial"/>
          <w:sz w:val="22"/>
          <w:szCs w:val="22"/>
        </w:rPr>
        <w:t xml:space="preserve">Consequently, we strongly support the anti-avoidance provisions in the Bill. The circumstances described in the proposed </w:t>
      </w:r>
      <w:r w:rsidR="00DD56B1">
        <w:rPr>
          <w:rFonts w:ascii="Arial" w:hAnsi="Arial" w:cs="Arial"/>
          <w:sz w:val="22"/>
          <w:szCs w:val="22"/>
        </w:rPr>
        <w:t>s</w:t>
      </w:r>
      <w:r w:rsidRPr="007D42D6">
        <w:rPr>
          <w:rFonts w:ascii="Arial" w:hAnsi="Arial" w:cs="Arial"/>
          <w:sz w:val="22"/>
          <w:szCs w:val="22"/>
        </w:rPr>
        <w:t xml:space="preserve">323A combined with the effect of </w:t>
      </w:r>
      <w:r w:rsidR="00DD56B1">
        <w:rPr>
          <w:rFonts w:ascii="Arial" w:hAnsi="Arial" w:cs="Arial"/>
          <w:sz w:val="22"/>
          <w:szCs w:val="22"/>
        </w:rPr>
        <w:t>s</w:t>
      </w:r>
      <w:r w:rsidRPr="007D42D6">
        <w:rPr>
          <w:rFonts w:ascii="Arial" w:hAnsi="Arial" w:cs="Arial"/>
          <w:sz w:val="22"/>
          <w:szCs w:val="22"/>
        </w:rPr>
        <w:t>323C, particularly the operation of sub-sections (3) &amp; (4), appear particularly effective to address known avoidance models, while giving sufficient scope to enable ASIC to address future innovation aimed at circumventing the intent and effect of the protections provided by the credit law.</w:t>
      </w:r>
    </w:p>
    <w:p w14:paraId="3C74E060" w14:textId="77777777" w:rsidR="00E31939" w:rsidRPr="007D42D6" w:rsidRDefault="00E31939" w:rsidP="007D42D6">
      <w:pPr>
        <w:spacing w:line="276" w:lineRule="auto"/>
        <w:jc w:val="both"/>
        <w:rPr>
          <w:rFonts w:ascii="Arial" w:hAnsi="Arial" w:cs="Arial"/>
          <w:sz w:val="22"/>
          <w:szCs w:val="22"/>
        </w:rPr>
      </w:pPr>
    </w:p>
    <w:p w14:paraId="648FD84E" w14:textId="309A6E80" w:rsidR="00E31939" w:rsidRPr="007D42D6" w:rsidRDefault="00E31939" w:rsidP="007D42D6">
      <w:pPr>
        <w:spacing w:line="276" w:lineRule="auto"/>
        <w:jc w:val="both"/>
        <w:rPr>
          <w:rFonts w:ascii="Arial" w:hAnsi="Arial" w:cs="Arial"/>
          <w:bCs/>
          <w:i/>
          <w:iCs/>
          <w:color w:val="000000"/>
          <w:sz w:val="22"/>
          <w:szCs w:val="22"/>
        </w:rPr>
      </w:pPr>
      <w:r w:rsidRPr="007D42D6">
        <w:rPr>
          <w:rFonts w:ascii="Arial" w:hAnsi="Arial" w:cs="Arial"/>
          <w:sz w:val="22"/>
          <w:szCs w:val="22"/>
        </w:rPr>
        <w:t xml:space="preserve">However, </w:t>
      </w:r>
      <w:r w:rsidR="00DD56B1">
        <w:rPr>
          <w:rFonts w:ascii="Arial" w:hAnsi="Arial" w:cs="Arial"/>
          <w:sz w:val="22"/>
          <w:szCs w:val="22"/>
        </w:rPr>
        <w:t>s</w:t>
      </w:r>
      <w:r w:rsidRPr="007D42D6">
        <w:rPr>
          <w:rFonts w:ascii="Arial" w:hAnsi="Arial" w:cs="Arial"/>
          <w:sz w:val="22"/>
          <w:szCs w:val="22"/>
        </w:rPr>
        <w:t>323B gives us cause for considerable concern. As currently drafted</w:t>
      </w:r>
      <w:r w:rsidR="00DD56B1">
        <w:rPr>
          <w:rFonts w:ascii="Arial" w:hAnsi="Arial" w:cs="Arial"/>
          <w:sz w:val="22"/>
          <w:szCs w:val="22"/>
        </w:rPr>
        <w:t xml:space="preserve"> s</w:t>
      </w:r>
      <w:r w:rsidRPr="007D42D6">
        <w:rPr>
          <w:rFonts w:ascii="Arial" w:hAnsi="Arial" w:cs="Arial"/>
          <w:sz w:val="22"/>
          <w:szCs w:val="22"/>
        </w:rPr>
        <w:t xml:space="preserve">323B could have the effect that if a scheme is structured so that the credit contract component of the scheme meets the criteria for an exemption under s.6 of the </w:t>
      </w:r>
      <w:r w:rsidR="00DD56B1" w:rsidRPr="00DD56B1">
        <w:rPr>
          <w:rFonts w:ascii="Arial" w:hAnsi="Arial" w:cs="Arial"/>
          <w:i/>
          <w:sz w:val="22"/>
          <w:szCs w:val="22"/>
        </w:rPr>
        <w:t xml:space="preserve">National Credit </w:t>
      </w:r>
      <w:r w:rsidRPr="00DD56B1">
        <w:rPr>
          <w:rFonts w:ascii="Arial" w:hAnsi="Arial" w:cs="Arial"/>
          <w:i/>
          <w:sz w:val="22"/>
          <w:szCs w:val="22"/>
        </w:rPr>
        <w:t>Code</w:t>
      </w:r>
      <w:r w:rsidRPr="007D42D6">
        <w:rPr>
          <w:rFonts w:ascii="Arial" w:hAnsi="Arial" w:cs="Arial"/>
          <w:sz w:val="22"/>
          <w:szCs w:val="22"/>
        </w:rPr>
        <w:t xml:space="preserve">, the anti-avoidance provisions would not apply even if the purpose of the scheme is demonstrably to avoid application of the </w:t>
      </w:r>
      <w:r w:rsidR="00DD56B1">
        <w:rPr>
          <w:rFonts w:ascii="Arial" w:hAnsi="Arial" w:cs="Arial"/>
          <w:sz w:val="22"/>
          <w:szCs w:val="22"/>
        </w:rPr>
        <w:t>NCCP</w:t>
      </w:r>
      <w:r w:rsidRPr="007D42D6">
        <w:rPr>
          <w:rFonts w:ascii="Arial" w:hAnsi="Arial" w:cs="Arial"/>
          <w:sz w:val="22"/>
          <w:szCs w:val="22"/>
        </w:rPr>
        <w:t xml:space="preserve"> Act and </w:t>
      </w:r>
      <w:r w:rsidR="00DD56B1" w:rsidRPr="00DD56B1">
        <w:rPr>
          <w:rFonts w:ascii="Arial" w:hAnsi="Arial" w:cs="Arial"/>
          <w:i/>
          <w:sz w:val="22"/>
          <w:szCs w:val="22"/>
        </w:rPr>
        <w:t xml:space="preserve">National Credit </w:t>
      </w:r>
      <w:r w:rsidRPr="00DD56B1">
        <w:rPr>
          <w:rFonts w:ascii="Arial" w:hAnsi="Arial" w:cs="Arial"/>
          <w:i/>
          <w:sz w:val="22"/>
          <w:szCs w:val="22"/>
        </w:rPr>
        <w:t>Code</w:t>
      </w:r>
      <w:r w:rsidRPr="007D42D6">
        <w:rPr>
          <w:rFonts w:ascii="Arial" w:hAnsi="Arial" w:cs="Arial"/>
          <w:sz w:val="22"/>
          <w:szCs w:val="22"/>
        </w:rPr>
        <w:t xml:space="preserve">. The logic is somewhat circular, but having used the comprehensive criteria in </w:t>
      </w:r>
      <w:r w:rsidR="00DD56B1">
        <w:rPr>
          <w:rFonts w:ascii="Arial" w:hAnsi="Arial" w:cs="Arial"/>
          <w:sz w:val="22"/>
          <w:szCs w:val="22"/>
        </w:rPr>
        <w:t>s</w:t>
      </w:r>
      <w:r w:rsidRPr="007D42D6">
        <w:rPr>
          <w:rFonts w:ascii="Arial" w:hAnsi="Arial" w:cs="Arial"/>
          <w:sz w:val="22"/>
          <w:szCs w:val="22"/>
        </w:rPr>
        <w:t xml:space="preserve">323A to establish that a particular scheme or arrangement meets the criteria for avoidance, </w:t>
      </w:r>
      <w:r w:rsidR="00DD56B1">
        <w:rPr>
          <w:rFonts w:ascii="Arial" w:hAnsi="Arial" w:cs="Arial"/>
          <w:sz w:val="22"/>
          <w:szCs w:val="22"/>
        </w:rPr>
        <w:t>s</w:t>
      </w:r>
      <w:r w:rsidRPr="007D42D6">
        <w:rPr>
          <w:rFonts w:ascii="Arial" w:hAnsi="Arial" w:cs="Arial"/>
          <w:sz w:val="22"/>
          <w:szCs w:val="22"/>
        </w:rPr>
        <w:t xml:space="preserve">323B then says that those very provisions do not apply if the contract is excluded by </w:t>
      </w:r>
      <w:r w:rsidR="00DD56B1">
        <w:rPr>
          <w:rFonts w:ascii="Arial" w:hAnsi="Arial" w:cs="Arial"/>
          <w:sz w:val="22"/>
          <w:szCs w:val="22"/>
        </w:rPr>
        <w:t>s</w:t>
      </w:r>
      <w:r w:rsidRPr="007D42D6">
        <w:rPr>
          <w:rFonts w:ascii="Arial" w:hAnsi="Arial" w:cs="Arial"/>
          <w:sz w:val="22"/>
          <w:szCs w:val="22"/>
        </w:rPr>
        <w:t xml:space="preserve">6 of the </w:t>
      </w:r>
      <w:r w:rsidR="00DD56B1" w:rsidRPr="00DD56B1">
        <w:rPr>
          <w:rFonts w:ascii="Arial" w:hAnsi="Arial" w:cs="Arial"/>
          <w:i/>
          <w:sz w:val="22"/>
          <w:szCs w:val="22"/>
        </w:rPr>
        <w:t>National Credit Code</w:t>
      </w:r>
      <w:r w:rsidR="00DD56B1" w:rsidRPr="007D42D6">
        <w:rPr>
          <w:rFonts w:ascii="Arial" w:hAnsi="Arial" w:cs="Arial"/>
          <w:sz w:val="22"/>
          <w:szCs w:val="22"/>
        </w:rPr>
        <w:t xml:space="preserve"> </w:t>
      </w:r>
      <w:r w:rsidRPr="007D42D6">
        <w:rPr>
          <w:rFonts w:ascii="Arial" w:hAnsi="Arial" w:cs="Arial"/>
          <w:sz w:val="22"/>
          <w:szCs w:val="22"/>
        </w:rPr>
        <w:t xml:space="preserve">(among others). This is particularly concerning given the known use of </w:t>
      </w:r>
      <w:r w:rsidR="00DD56B1">
        <w:rPr>
          <w:rFonts w:ascii="Arial" w:hAnsi="Arial" w:cs="Arial"/>
          <w:sz w:val="22"/>
          <w:szCs w:val="22"/>
        </w:rPr>
        <w:t>s</w:t>
      </w:r>
      <w:r w:rsidRPr="007D42D6">
        <w:rPr>
          <w:rFonts w:ascii="Arial" w:hAnsi="Arial" w:cs="Arial"/>
          <w:sz w:val="22"/>
          <w:szCs w:val="22"/>
        </w:rPr>
        <w:t xml:space="preserve">6 of the </w:t>
      </w:r>
      <w:r w:rsidR="00DD56B1" w:rsidRPr="00DD56B1">
        <w:rPr>
          <w:rFonts w:ascii="Arial" w:hAnsi="Arial" w:cs="Arial"/>
          <w:i/>
          <w:sz w:val="22"/>
          <w:szCs w:val="22"/>
        </w:rPr>
        <w:t>National Credit Code</w:t>
      </w:r>
      <w:r w:rsidR="00DD56B1" w:rsidRPr="007D42D6">
        <w:rPr>
          <w:rFonts w:ascii="Arial" w:hAnsi="Arial" w:cs="Arial"/>
          <w:sz w:val="22"/>
          <w:szCs w:val="22"/>
        </w:rPr>
        <w:t xml:space="preserve"> </w:t>
      </w:r>
      <w:r w:rsidRPr="007D42D6">
        <w:rPr>
          <w:rFonts w:ascii="Arial" w:hAnsi="Arial" w:cs="Arial"/>
          <w:sz w:val="22"/>
          <w:szCs w:val="22"/>
        </w:rPr>
        <w:t>as an avoidance mechanism (</w:t>
      </w:r>
      <w:r w:rsidRPr="007D42D6">
        <w:rPr>
          <w:rFonts w:ascii="Arial" w:hAnsi="Arial" w:cs="Arial"/>
          <w:i/>
          <w:iCs/>
          <w:color w:val="000000"/>
          <w:sz w:val="22"/>
          <w:szCs w:val="22"/>
        </w:rPr>
        <w:t>Australian Securities and Investments Commission v Teleloans Pty Ltd</w:t>
      </w:r>
      <w:r w:rsidRPr="007D42D6">
        <w:rPr>
          <w:rFonts w:ascii="Arial" w:hAnsi="Arial" w:cs="Arial"/>
          <w:color w:val="000000"/>
          <w:sz w:val="22"/>
          <w:szCs w:val="22"/>
        </w:rPr>
        <w:t> [2015] FCA 648 (</w:t>
      </w:r>
      <w:r w:rsidRPr="00C63C76">
        <w:rPr>
          <w:rFonts w:ascii="Arial" w:hAnsi="Arial" w:cs="Arial"/>
          <w:bCs/>
          <w:i/>
          <w:iCs/>
          <w:color w:val="000000"/>
          <w:sz w:val="22"/>
          <w:szCs w:val="22"/>
        </w:rPr>
        <w:t>ASIC v Teleloans</w:t>
      </w:r>
      <w:r w:rsidRPr="007D42D6">
        <w:rPr>
          <w:rFonts w:ascii="Arial" w:hAnsi="Arial" w:cs="Arial"/>
          <w:bCs/>
          <w:i/>
          <w:iCs/>
          <w:color w:val="000000"/>
          <w:sz w:val="22"/>
          <w:szCs w:val="22"/>
        </w:rPr>
        <w:t>).</w:t>
      </w:r>
    </w:p>
    <w:p w14:paraId="07933237" w14:textId="77777777" w:rsidR="00E31939" w:rsidRPr="007D42D6" w:rsidRDefault="00E31939" w:rsidP="007D42D6">
      <w:pPr>
        <w:spacing w:line="276" w:lineRule="auto"/>
        <w:jc w:val="both"/>
        <w:rPr>
          <w:rFonts w:ascii="Arial" w:hAnsi="Arial" w:cs="Arial"/>
          <w:bCs/>
          <w:i/>
          <w:iCs/>
          <w:color w:val="000000"/>
          <w:sz w:val="22"/>
          <w:szCs w:val="22"/>
        </w:rPr>
      </w:pPr>
    </w:p>
    <w:p w14:paraId="7D6A0D69" w14:textId="6279C965" w:rsidR="00E31939" w:rsidRDefault="00E31939" w:rsidP="007D42D6">
      <w:pPr>
        <w:spacing w:line="276" w:lineRule="auto"/>
        <w:jc w:val="both"/>
        <w:rPr>
          <w:rFonts w:ascii="Arial" w:hAnsi="Arial" w:cs="Arial"/>
          <w:sz w:val="22"/>
          <w:szCs w:val="22"/>
        </w:rPr>
      </w:pPr>
      <w:r w:rsidRPr="007D42D6">
        <w:rPr>
          <w:rFonts w:ascii="Arial" w:hAnsi="Arial" w:cs="Arial"/>
          <w:sz w:val="22"/>
          <w:szCs w:val="22"/>
        </w:rPr>
        <w:t>We note that Reg</w:t>
      </w:r>
      <w:r w:rsidR="00DD56B1">
        <w:rPr>
          <w:rFonts w:ascii="Arial" w:hAnsi="Arial" w:cs="Arial"/>
          <w:sz w:val="22"/>
          <w:szCs w:val="22"/>
        </w:rPr>
        <w:t>ulation</w:t>
      </w:r>
      <w:r w:rsidRPr="007D42D6">
        <w:rPr>
          <w:rFonts w:ascii="Arial" w:hAnsi="Arial" w:cs="Arial"/>
          <w:sz w:val="22"/>
          <w:szCs w:val="22"/>
        </w:rPr>
        <w:t xml:space="preserve"> 50A was introduced after </w:t>
      </w:r>
      <w:r w:rsidRPr="00C63C76">
        <w:rPr>
          <w:rFonts w:ascii="Arial" w:hAnsi="Arial" w:cs="Arial"/>
          <w:i/>
          <w:sz w:val="22"/>
          <w:szCs w:val="22"/>
        </w:rPr>
        <w:t>ASIC v Teleloans</w:t>
      </w:r>
      <w:r w:rsidRPr="007D42D6">
        <w:rPr>
          <w:rFonts w:ascii="Arial" w:hAnsi="Arial" w:cs="Arial"/>
          <w:sz w:val="22"/>
          <w:szCs w:val="22"/>
        </w:rPr>
        <w:t xml:space="preserve"> to address this type of business model avoidance, but we continue to see clients affected by Teleloans, Finance and Loans Direct Pty Ltd and their successors, Cigno and Gold-Si</w:t>
      </w:r>
      <w:r w:rsidR="00DD56B1">
        <w:rPr>
          <w:rFonts w:ascii="Arial" w:hAnsi="Arial" w:cs="Arial"/>
          <w:sz w:val="22"/>
          <w:szCs w:val="22"/>
        </w:rPr>
        <w:t>lver Standard Finance Pty Ltd (</w:t>
      </w:r>
      <w:r w:rsidRPr="00DD56B1">
        <w:rPr>
          <w:rFonts w:ascii="Arial" w:hAnsi="Arial" w:cs="Arial"/>
          <w:b/>
          <w:sz w:val="22"/>
          <w:szCs w:val="22"/>
        </w:rPr>
        <w:t>GSSF</w:t>
      </w:r>
      <w:r w:rsidRPr="007D42D6">
        <w:rPr>
          <w:rFonts w:ascii="Arial" w:hAnsi="Arial" w:cs="Arial"/>
          <w:sz w:val="22"/>
          <w:szCs w:val="22"/>
        </w:rPr>
        <w:t>):</w:t>
      </w:r>
    </w:p>
    <w:p w14:paraId="7530227F" w14:textId="77777777" w:rsidR="00DF0D9D" w:rsidRPr="007D42D6" w:rsidRDefault="00DF0D9D" w:rsidP="007D42D6">
      <w:pPr>
        <w:spacing w:line="276" w:lineRule="auto"/>
        <w:jc w:val="both"/>
        <w:rPr>
          <w:rFonts w:ascii="Arial" w:hAnsi="Arial" w:cs="Arial"/>
          <w:sz w:val="22"/>
          <w:szCs w:val="22"/>
        </w:rPr>
      </w:pPr>
    </w:p>
    <w:p w14:paraId="3A2C2C6B" w14:textId="03AAD314" w:rsidR="00E31939" w:rsidRPr="007D42D6" w:rsidRDefault="00E31939" w:rsidP="007D42D6">
      <w:pPr>
        <w:spacing w:line="276" w:lineRule="auto"/>
        <w:jc w:val="both"/>
        <w:rPr>
          <w:rFonts w:ascii="Arial" w:hAnsi="Arial" w:cs="Arial"/>
          <w:sz w:val="22"/>
          <w:szCs w:val="22"/>
        </w:rPr>
      </w:pPr>
    </w:p>
    <w:tbl>
      <w:tblPr>
        <w:tblStyle w:val="TableGrid"/>
        <w:tblW w:w="0" w:type="auto"/>
        <w:shd w:val="clear" w:color="auto" w:fill="DBE5F1" w:themeFill="accent1" w:themeFillTint="33"/>
        <w:tblLook w:val="04A0" w:firstRow="1" w:lastRow="0" w:firstColumn="1" w:lastColumn="0" w:noHBand="0" w:noVBand="1"/>
      </w:tblPr>
      <w:tblGrid>
        <w:gridCol w:w="9346"/>
      </w:tblGrid>
      <w:tr w:rsidR="00E31939" w:rsidRPr="007D42D6" w14:paraId="1FEB46CD" w14:textId="77777777" w:rsidTr="2156E3F7">
        <w:tc>
          <w:tcPr>
            <w:tcW w:w="9346" w:type="dxa"/>
            <w:shd w:val="clear" w:color="auto" w:fill="DBE5F1" w:themeFill="accent1" w:themeFillTint="33"/>
          </w:tcPr>
          <w:p w14:paraId="6A572086" w14:textId="77777777" w:rsidR="00E31939" w:rsidRPr="007D42D6" w:rsidRDefault="00E31939" w:rsidP="007D42D6">
            <w:pPr>
              <w:spacing w:line="276" w:lineRule="auto"/>
              <w:jc w:val="both"/>
              <w:rPr>
                <w:rFonts w:ascii="Arial" w:hAnsi="Arial" w:cs="Arial"/>
                <w:b/>
                <w:sz w:val="22"/>
                <w:szCs w:val="22"/>
              </w:rPr>
            </w:pPr>
          </w:p>
          <w:p w14:paraId="346F08A1" w14:textId="5A78E0DB" w:rsidR="00E31939" w:rsidRPr="007D42D6" w:rsidRDefault="00E31939" w:rsidP="007D42D6">
            <w:pPr>
              <w:spacing w:line="276" w:lineRule="auto"/>
              <w:jc w:val="both"/>
              <w:rPr>
                <w:rFonts w:ascii="Arial" w:hAnsi="Arial" w:cs="Arial"/>
                <w:b/>
                <w:sz w:val="22"/>
                <w:szCs w:val="22"/>
              </w:rPr>
            </w:pPr>
            <w:r w:rsidRPr="007D42D6">
              <w:rPr>
                <w:rFonts w:ascii="Arial" w:hAnsi="Arial" w:cs="Arial"/>
                <w:b/>
                <w:sz w:val="22"/>
                <w:szCs w:val="22"/>
              </w:rPr>
              <w:t>Mary’s story</w:t>
            </w:r>
          </w:p>
          <w:p w14:paraId="28CB2B51" w14:textId="0F6EB1D1" w:rsidR="00E31939" w:rsidRPr="007D42D6" w:rsidRDefault="00E31939" w:rsidP="007D42D6">
            <w:pPr>
              <w:spacing w:line="276" w:lineRule="auto"/>
              <w:jc w:val="both"/>
              <w:rPr>
                <w:rFonts w:ascii="Arial" w:hAnsi="Arial" w:cs="Arial"/>
                <w:sz w:val="22"/>
                <w:szCs w:val="22"/>
              </w:rPr>
            </w:pPr>
          </w:p>
          <w:p w14:paraId="24A862E3" w14:textId="01F1442E" w:rsidR="00E31939" w:rsidRPr="007D42D6" w:rsidRDefault="2156E3F7" w:rsidP="007D42D6">
            <w:pPr>
              <w:spacing w:line="276" w:lineRule="auto"/>
              <w:jc w:val="both"/>
              <w:rPr>
                <w:rFonts w:ascii="Arial" w:hAnsi="Arial" w:cs="Arial"/>
                <w:sz w:val="22"/>
                <w:szCs w:val="22"/>
              </w:rPr>
            </w:pPr>
            <w:r w:rsidRPr="2156E3F7">
              <w:rPr>
                <w:rFonts w:ascii="Arial" w:hAnsi="Arial" w:cs="Arial"/>
                <w:sz w:val="22"/>
                <w:szCs w:val="22"/>
              </w:rPr>
              <w:t xml:space="preserve">Mary (name changed) is 19 years old, indigenous, with a history of mental health issues including schizophrenia. She’s had a pretty hard life to date including witnessing domestic violence and her father going to jail. At the time she came to the National Debt Helpline her sole source of income was Youth Allowance. She had 3 SACCs and a consumer lease which she could not afford. One of the loans was provided by Cigno/GSSF and had grown from $150 to $740. </w:t>
            </w:r>
          </w:p>
          <w:p w14:paraId="38E202ED" w14:textId="3AA4CD2B" w:rsidR="2156E3F7" w:rsidRDefault="2156E3F7" w:rsidP="2156E3F7">
            <w:pPr>
              <w:spacing w:line="276" w:lineRule="auto"/>
              <w:jc w:val="both"/>
              <w:rPr>
                <w:rFonts w:ascii="Arial" w:hAnsi="Arial" w:cs="Arial"/>
                <w:sz w:val="22"/>
                <w:szCs w:val="22"/>
              </w:rPr>
            </w:pPr>
          </w:p>
          <w:p w14:paraId="3FC6C9D1" w14:textId="2E968288" w:rsidR="2156E3F7" w:rsidRDefault="2156E3F7" w:rsidP="2156E3F7">
            <w:pPr>
              <w:spacing w:line="276" w:lineRule="auto"/>
              <w:jc w:val="both"/>
              <w:rPr>
                <w:rFonts w:ascii="Arial" w:hAnsi="Arial" w:cs="Arial"/>
                <w:sz w:val="22"/>
                <w:szCs w:val="22"/>
              </w:rPr>
            </w:pPr>
            <w:r w:rsidRPr="2156E3F7">
              <w:rPr>
                <w:rFonts w:ascii="Arial" w:hAnsi="Arial" w:cs="Arial"/>
                <w:i/>
                <w:iCs/>
                <w:sz w:val="22"/>
                <w:szCs w:val="22"/>
              </w:rPr>
              <w:t>Case study provided by Financial Rights Legal Centre.</w:t>
            </w:r>
          </w:p>
          <w:p w14:paraId="3D5C7B19" w14:textId="303CD52F" w:rsidR="00E31939" w:rsidRPr="007D42D6" w:rsidRDefault="00E31939" w:rsidP="007D42D6">
            <w:pPr>
              <w:spacing w:line="276" w:lineRule="auto"/>
              <w:jc w:val="both"/>
              <w:rPr>
                <w:rFonts w:ascii="Arial" w:hAnsi="Arial" w:cs="Arial"/>
                <w:sz w:val="22"/>
                <w:szCs w:val="22"/>
              </w:rPr>
            </w:pPr>
          </w:p>
        </w:tc>
      </w:tr>
    </w:tbl>
    <w:p w14:paraId="4B705DA3" w14:textId="78590EF4" w:rsidR="00E31939" w:rsidRPr="007D42D6" w:rsidRDefault="00E31939" w:rsidP="007D42D6">
      <w:pPr>
        <w:spacing w:line="276" w:lineRule="auto"/>
        <w:jc w:val="both"/>
        <w:rPr>
          <w:rFonts w:ascii="Arial" w:hAnsi="Arial" w:cs="Arial"/>
          <w:sz w:val="22"/>
          <w:szCs w:val="22"/>
        </w:rPr>
      </w:pPr>
    </w:p>
    <w:tbl>
      <w:tblPr>
        <w:tblStyle w:val="TableGrid"/>
        <w:tblW w:w="0" w:type="auto"/>
        <w:shd w:val="clear" w:color="auto" w:fill="DBE5F1" w:themeFill="accent1" w:themeFillTint="33"/>
        <w:tblLook w:val="04A0" w:firstRow="1" w:lastRow="0" w:firstColumn="1" w:lastColumn="0" w:noHBand="0" w:noVBand="1"/>
      </w:tblPr>
      <w:tblGrid>
        <w:gridCol w:w="9346"/>
      </w:tblGrid>
      <w:tr w:rsidR="00E31939" w:rsidRPr="007D42D6" w14:paraId="74DB36DC" w14:textId="77777777" w:rsidTr="2156E3F7">
        <w:tc>
          <w:tcPr>
            <w:tcW w:w="9346" w:type="dxa"/>
            <w:shd w:val="clear" w:color="auto" w:fill="DBE5F1" w:themeFill="accent1" w:themeFillTint="33"/>
          </w:tcPr>
          <w:p w14:paraId="723844C6" w14:textId="77777777" w:rsidR="00E31939" w:rsidRPr="007D42D6" w:rsidRDefault="00E31939" w:rsidP="007D42D6">
            <w:pPr>
              <w:spacing w:line="276" w:lineRule="auto"/>
              <w:jc w:val="both"/>
              <w:rPr>
                <w:rFonts w:ascii="Arial" w:hAnsi="Arial" w:cs="Arial"/>
                <w:sz w:val="22"/>
                <w:szCs w:val="22"/>
              </w:rPr>
            </w:pPr>
          </w:p>
          <w:p w14:paraId="0C14E265" w14:textId="77777777" w:rsidR="00E31939" w:rsidRPr="007D42D6" w:rsidRDefault="00E31939" w:rsidP="007D42D6">
            <w:pPr>
              <w:spacing w:line="276" w:lineRule="auto"/>
              <w:jc w:val="both"/>
              <w:rPr>
                <w:rFonts w:ascii="Arial" w:hAnsi="Arial" w:cs="Arial"/>
                <w:b/>
                <w:sz w:val="22"/>
                <w:szCs w:val="22"/>
              </w:rPr>
            </w:pPr>
            <w:r w:rsidRPr="007D42D6">
              <w:rPr>
                <w:rFonts w:ascii="Arial" w:hAnsi="Arial" w:cs="Arial"/>
                <w:b/>
                <w:sz w:val="22"/>
                <w:szCs w:val="22"/>
              </w:rPr>
              <w:t>Sarah’s story</w:t>
            </w:r>
          </w:p>
          <w:p w14:paraId="1EF7BCBC" w14:textId="77777777" w:rsidR="00E31939" w:rsidRPr="007D42D6" w:rsidRDefault="00E31939" w:rsidP="007D42D6">
            <w:pPr>
              <w:spacing w:line="276" w:lineRule="auto"/>
              <w:jc w:val="both"/>
              <w:rPr>
                <w:rFonts w:ascii="Arial" w:hAnsi="Arial" w:cs="Arial"/>
                <w:sz w:val="22"/>
                <w:szCs w:val="22"/>
              </w:rPr>
            </w:pPr>
          </w:p>
          <w:p w14:paraId="7ABB304D" w14:textId="0CAADE72" w:rsidR="00E31939" w:rsidRPr="007D42D6" w:rsidRDefault="2156E3F7" w:rsidP="2156E3F7">
            <w:pPr>
              <w:spacing w:line="276" w:lineRule="auto"/>
              <w:ind w:left="22"/>
              <w:jc w:val="both"/>
              <w:rPr>
                <w:rFonts w:ascii="Arial" w:hAnsi="Arial" w:cs="Arial"/>
                <w:sz w:val="22"/>
                <w:szCs w:val="22"/>
              </w:rPr>
            </w:pPr>
            <w:r w:rsidRPr="2156E3F7">
              <w:rPr>
                <w:rFonts w:ascii="Arial" w:hAnsi="Arial" w:cs="Arial"/>
                <w:sz w:val="22"/>
                <w:szCs w:val="22"/>
              </w:rPr>
              <w:t xml:space="preserve">Sarah (name changed) was a young mother on Parenting Payment Single. When her father died she was forced to rent on the private market for the first time and struggled financially. When she sought assistance from the National Debt Helpline she was struggling with 3 SACCs. One of them was from Cigno for $150. At that time she had already paid back $380 and they were seeking a further $1020 in fees and default charges, far in excess of the maximum amount permitted under the law (section 39B of the </w:t>
            </w:r>
            <w:r w:rsidRPr="2156E3F7">
              <w:rPr>
                <w:rFonts w:ascii="Arial" w:hAnsi="Arial" w:cs="Arial"/>
                <w:i/>
                <w:iCs/>
                <w:sz w:val="22"/>
                <w:szCs w:val="22"/>
              </w:rPr>
              <w:t>National Credit Code</w:t>
            </w:r>
            <w:r w:rsidRPr="2156E3F7">
              <w:rPr>
                <w:rFonts w:ascii="Arial" w:hAnsi="Arial" w:cs="Arial"/>
                <w:sz w:val="22"/>
                <w:szCs w:val="22"/>
              </w:rPr>
              <w:t>).</w:t>
            </w:r>
          </w:p>
          <w:p w14:paraId="4B142C09" w14:textId="00EEA021" w:rsidR="2156E3F7" w:rsidRDefault="2156E3F7" w:rsidP="2156E3F7">
            <w:pPr>
              <w:spacing w:line="276" w:lineRule="auto"/>
              <w:ind w:left="22"/>
              <w:jc w:val="both"/>
              <w:rPr>
                <w:rFonts w:ascii="Arial" w:hAnsi="Arial" w:cs="Arial"/>
                <w:sz w:val="22"/>
                <w:szCs w:val="22"/>
              </w:rPr>
            </w:pPr>
          </w:p>
          <w:p w14:paraId="537C0E1F" w14:textId="5B716B36" w:rsidR="2156E3F7" w:rsidRDefault="2156E3F7" w:rsidP="2156E3F7">
            <w:pPr>
              <w:spacing w:line="276" w:lineRule="auto"/>
              <w:jc w:val="both"/>
              <w:rPr>
                <w:rFonts w:ascii="Arial" w:hAnsi="Arial" w:cs="Arial"/>
                <w:sz w:val="22"/>
                <w:szCs w:val="22"/>
              </w:rPr>
            </w:pPr>
            <w:r w:rsidRPr="2156E3F7">
              <w:rPr>
                <w:rFonts w:ascii="Arial" w:hAnsi="Arial" w:cs="Arial"/>
                <w:i/>
                <w:iCs/>
                <w:sz w:val="22"/>
                <w:szCs w:val="22"/>
              </w:rPr>
              <w:t>Case study provided by Financial Rights Legal Centre.</w:t>
            </w:r>
          </w:p>
          <w:p w14:paraId="406B7102" w14:textId="38CCAC38" w:rsidR="00E31939" w:rsidRPr="007D42D6" w:rsidRDefault="00E31939" w:rsidP="007D42D6">
            <w:pPr>
              <w:spacing w:line="276" w:lineRule="auto"/>
              <w:jc w:val="both"/>
              <w:rPr>
                <w:rFonts w:ascii="Arial" w:hAnsi="Arial" w:cs="Arial"/>
                <w:sz w:val="22"/>
                <w:szCs w:val="22"/>
              </w:rPr>
            </w:pPr>
          </w:p>
        </w:tc>
      </w:tr>
    </w:tbl>
    <w:p w14:paraId="0B9F9E88" w14:textId="77777777" w:rsidR="00E31939" w:rsidRPr="007D42D6" w:rsidRDefault="00E31939" w:rsidP="007D42D6">
      <w:pPr>
        <w:spacing w:line="276" w:lineRule="auto"/>
        <w:jc w:val="both"/>
        <w:rPr>
          <w:rFonts w:ascii="Arial" w:hAnsi="Arial" w:cs="Arial"/>
          <w:sz w:val="22"/>
          <w:szCs w:val="22"/>
        </w:rPr>
      </w:pPr>
    </w:p>
    <w:p w14:paraId="70C06CE4" w14:textId="2A982458" w:rsidR="00E31939" w:rsidRPr="007D42D6" w:rsidRDefault="00E31939" w:rsidP="007D42D6">
      <w:pPr>
        <w:spacing w:line="276" w:lineRule="auto"/>
        <w:jc w:val="both"/>
        <w:rPr>
          <w:rFonts w:ascii="Arial" w:hAnsi="Arial" w:cs="Arial"/>
          <w:sz w:val="22"/>
          <w:szCs w:val="22"/>
        </w:rPr>
      </w:pPr>
      <w:r w:rsidRPr="007D42D6">
        <w:rPr>
          <w:rFonts w:ascii="Arial" w:hAnsi="Arial" w:cs="Arial"/>
          <w:sz w:val="22"/>
          <w:szCs w:val="22"/>
        </w:rPr>
        <w:t xml:space="preserve">In </w:t>
      </w:r>
      <w:r w:rsidR="007D42D6" w:rsidRPr="007D42D6">
        <w:rPr>
          <w:rFonts w:ascii="Arial" w:hAnsi="Arial" w:cs="Arial"/>
          <w:sz w:val="22"/>
          <w:szCs w:val="22"/>
        </w:rPr>
        <w:t>both above</w:t>
      </w:r>
      <w:r w:rsidRPr="007D42D6">
        <w:rPr>
          <w:rFonts w:ascii="Arial" w:hAnsi="Arial" w:cs="Arial"/>
          <w:sz w:val="22"/>
          <w:szCs w:val="22"/>
        </w:rPr>
        <w:t xml:space="preserve"> cases no assessment of unsuitability was made as required under the responsible lending provisions of the credit law. When challenged Cigno/GSSF continue to quote </w:t>
      </w:r>
      <w:r w:rsidRPr="007D42D6">
        <w:rPr>
          <w:rFonts w:ascii="Arial" w:hAnsi="Arial" w:cs="Arial"/>
          <w:i/>
          <w:sz w:val="22"/>
          <w:szCs w:val="22"/>
        </w:rPr>
        <w:t>ASIC v Teleloans</w:t>
      </w:r>
      <w:r w:rsidRPr="007D42D6">
        <w:rPr>
          <w:rFonts w:ascii="Arial" w:hAnsi="Arial" w:cs="Arial"/>
          <w:sz w:val="22"/>
          <w:szCs w:val="22"/>
        </w:rPr>
        <w:t xml:space="preserve"> in support of their claim that the credit law does not apply, despite the introduction of Reg</w:t>
      </w:r>
      <w:r w:rsidR="00DD56B1">
        <w:rPr>
          <w:rFonts w:ascii="Arial" w:hAnsi="Arial" w:cs="Arial"/>
          <w:sz w:val="22"/>
          <w:szCs w:val="22"/>
        </w:rPr>
        <w:t>ulation</w:t>
      </w:r>
      <w:r w:rsidRPr="007D42D6">
        <w:rPr>
          <w:rFonts w:ascii="Arial" w:hAnsi="Arial" w:cs="Arial"/>
          <w:sz w:val="22"/>
          <w:szCs w:val="22"/>
        </w:rPr>
        <w:t xml:space="preserve"> 50A. While these matters (and several others) were settled on satisfactory terms we remain very concerned for consumers who do not seek advice and assistance and continue to be given unsuitable loans and charged amounts far more than that allowed by the legislation.</w:t>
      </w:r>
    </w:p>
    <w:p w14:paraId="0A8D406A" w14:textId="77777777" w:rsidR="00E31939" w:rsidRPr="007D42D6" w:rsidRDefault="00E31939" w:rsidP="007D42D6">
      <w:pPr>
        <w:spacing w:line="276" w:lineRule="auto"/>
        <w:jc w:val="both"/>
        <w:rPr>
          <w:rFonts w:ascii="Arial" w:hAnsi="Arial" w:cs="Arial"/>
          <w:sz w:val="22"/>
          <w:szCs w:val="22"/>
        </w:rPr>
      </w:pPr>
    </w:p>
    <w:p w14:paraId="211E61CA" w14:textId="55A7D68D" w:rsidR="00E31939" w:rsidRPr="007D42D6" w:rsidRDefault="00E31939" w:rsidP="007D42D6">
      <w:pPr>
        <w:spacing w:line="276" w:lineRule="auto"/>
        <w:jc w:val="both"/>
        <w:rPr>
          <w:rFonts w:ascii="Arial" w:hAnsi="Arial" w:cs="Arial"/>
          <w:sz w:val="22"/>
          <w:szCs w:val="22"/>
        </w:rPr>
      </w:pPr>
      <w:r w:rsidRPr="007D42D6">
        <w:rPr>
          <w:rFonts w:ascii="Arial" w:hAnsi="Arial" w:cs="Arial"/>
          <w:sz w:val="22"/>
          <w:szCs w:val="22"/>
        </w:rPr>
        <w:t>We submit that it is consistent with the intention behind the introduction of Reg</w:t>
      </w:r>
      <w:r w:rsidR="00DD56B1">
        <w:rPr>
          <w:rFonts w:ascii="Arial" w:hAnsi="Arial" w:cs="Arial"/>
          <w:sz w:val="22"/>
          <w:szCs w:val="22"/>
        </w:rPr>
        <w:t>ulation</w:t>
      </w:r>
      <w:r w:rsidRPr="007D42D6">
        <w:rPr>
          <w:rFonts w:ascii="Arial" w:hAnsi="Arial" w:cs="Arial"/>
          <w:sz w:val="22"/>
          <w:szCs w:val="22"/>
        </w:rPr>
        <w:t xml:space="preserve"> 50A that the principles set out in s323A should apply to a determination as to whether a contract is caught or excluded from the purview of the </w:t>
      </w:r>
      <w:r w:rsidR="00DD56B1">
        <w:rPr>
          <w:rFonts w:ascii="Arial" w:hAnsi="Arial" w:cs="Arial"/>
          <w:sz w:val="22"/>
          <w:szCs w:val="22"/>
        </w:rPr>
        <w:t xml:space="preserve">NCCP </w:t>
      </w:r>
      <w:r w:rsidRPr="007D42D6">
        <w:rPr>
          <w:rFonts w:ascii="Arial" w:hAnsi="Arial" w:cs="Arial"/>
          <w:sz w:val="22"/>
          <w:szCs w:val="22"/>
        </w:rPr>
        <w:t xml:space="preserve">Act under section 6 etc. The effect of s323B should not be to exclude the operation of </w:t>
      </w:r>
      <w:r w:rsidR="00DD56B1">
        <w:rPr>
          <w:rFonts w:ascii="Arial" w:hAnsi="Arial" w:cs="Arial"/>
          <w:sz w:val="22"/>
          <w:szCs w:val="22"/>
        </w:rPr>
        <w:t>s</w:t>
      </w:r>
      <w:r w:rsidRPr="007D42D6">
        <w:rPr>
          <w:rFonts w:ascii="Arial" w:hAnsi="Arial" w:cs="Arial"/>
          <w:sz w:val="22"/>
          <w:szCs w:val="22"/>
        </w:rPr>
        <w:t>323A completely, but to clarify that the mentioned sections continue to have effect in so far as they exclude the legitimate use of these contracts, but not where that exclusion is achieved by the same artificiality, complexity or contrivance used as an indicator under the preceding sub-section.</w:t>
      </w:r>
    </w:p>
    <w:p w14:paraId="2C307D11" w14:textId="77777777" w:rsidR="00E31939" w:rsidRPr="007D42D6" w:rsidRDefault="00E31939" w:rsidP="007D42D6">
      <w:pPr>
        <w:spacing w:line="276" w:lineRule="auto"/>
        <w:jc w:val="both"/>
        <w:rPr>
          <w:rFonts w:ascii="Arial" w:hAnsi="Arial" w:cs="Arial"/>
          <w:sz w:val="22"/>
          <w:szCs w:val="22"/>
        </w:rPr>
      </w:pPr>
    </w:p>
    <w:p w14:paraId="59024EF5" w14:textId="3A33A614" w:rsidR="007D42D6" w:rsidRPr="007D42D6" w:rsidRDefault="00E31939" w:rsidP="007D42D6">
      <w:pPr>
        <w:spacing w:line="276" w:lineRule="auto"/>
        <w:jc w:val="both"/>
        <w:rPr>
          <w:rFonts w:ascii="Arial" w:hAnsi="Arial" w:cs="Arial"/>
          <w:sz w:val="22"/>
          <w:szCs w:val="22"/>
        </w:rPr>
      </w:pPr>
      <w:r w:rsidRPr="007D42D6">
        <w:rPr>
          <w:rFonts w:ascii="Arial" w:hAnsi="Arial" w:cs="Arial"/>
          <w:sz w:val="22"/>
          <w:szCs w:val="22"/>
        </w:rPr>
        <w:t xml:space="preserve">We are also concerned that the anti-avoidance provisions do not address avoidance of the law more generally, but are confined to schemes aimed at avoiding the SACC and consumer lease provisions in particular. While avoidance of the cost caps and more prescriptive responsible lending provisions are a particular driver of potential avoidance, attempts to avoid the 48% cap on larger loans, the general responsible lending provisions, licensing and compulsory external dispute resolution membership also occur. Financial Rights Legal Centre, for example, recently settled a matter in the NSW Supreme Court involving a $25,000 fee for organising a $19,000 loan secured against real property which attempted to avoid the credit law using a false business purpose declaration. Lenders in the </w:t>
      </w:r>
      <w:r w:rsidR="007D42D6">
        <w:rPr>
          <w:rFonts w:ascii="Arial" w:hAnsi="Arial" w:cs="Arial"/>
          <w:sz w:val="22"/>
          <w:szCs w:val="22"/>
        </w:rPr>
        <w:t>medium amount credit contract (</w:t>
      </w:r>
      <w:r w:rsidR="007D42D6" w:rsidRPr="007D42D6">
        <w:rPr>
          <w:rFonts w:ascii="Arial" w:hAnsi="Arial" w:cs="Arial"/>
          <w:b/>
          <w:sz w:val="22"/>
          <w:szCs w:val="22"/>
        </w:rPr>
        <w:t>MACC</w:t>
      </w:r>
      <w:r w:rsidR="007D42D6">
        <w:rPr>
          <w:rFonts w:ascii="Arial" w:hAnsi="Arial" w:cs="Arial"/>
          <w:sz w:val="22"/>
          <w:szCs w:val="22"/>
        </w:rPr>
        <w:t>)</w:t>
      </w:r>
      <w:r w:rsidRPr="007D42D6">
        <w:rPr>
          <w:rFonts w:ascii="Arial" w:hAnsi="Arial" w:cs="Arial"/>
          <w:sz w:val="22"/>
          <w:szCs w:val="22"/>
        </w:rPr>
        <w:t xml:space="preserve"> space are also often keen to maximise their returns by avoiding cost caps, and compliance.  </w:t>
      </w:r>
    </w:p>
    <w:p w14:paraId="1A3657A0" w14:textId="77777777" w:rsidR="007D42D6" w:rsidRPr="007D42D6" w:rsidRDefault="007D42D6" w:rsidP="007D42D6">
      <w:pPr>
        <w:spacing w:line="276" w:lineRule="auto"/>
        <w:jc w:val="both"/>
        <w:rPr>
          <w:rFonts w:ascii="Arial" w:hAnsi="Arial" w:cs="Arial"/>
          <w:sz w:val="22"/>
          <w:szCs w:val="22"/>
        </w:rPr>
      </w:pPr>
    </w:p>
    <w:p w14:paraId="259A38B5" w14:textId="0BF6E831" w:rsidR="00E31939" w:rsidRPr="007D42D6" w:rsidRDefault="00E31939" w:rsidP="007D42D6">
      <w:pPr>
        <w:spacing w:line="276" w:lineRule="auto"/>
        <w:jc w:val="both"/>
        <w:rPr>
          <w:rFonts w:ascii="Arial" w:hAnsi="Arial" w:cs="Arial"/>
          <w:sz w:val="22"/>
          <w:szCs w:val="22"/>
        </w:rPr>
      </w:pPr>
      <w:r w:rsidRPr="007D42D6">
        <w:rPr>
          <w:rFonts w:ascii="Arial" w:hAnsi="Arial" w:cs="Arial"/>
          <w:sz w:val="22"/>
          <w:szCs w:val="22"/>
        </w:rPr>
        <w:t xml:space="preserve">We would support a broader construction of s323A or a separate similar provision which addressed avoidance of the credit law </w:t>
      </w:r>
      <w:r w:rsidRPr="007D42D6">
        <w:rPr>
          <w:rFonts w:ascii="Arial" w:hAnsi="Arial" w:cs="Arial"/>
          <w:i/>
          <w:sz w:val="22"/>
          <w:szCs w:val="22"/>
          <w:u w:val="single"/>
        </w:rPr>
        <w:t>in its entirety.</w:t>
      </w:r>
      <w:r w:rsidRPr="007D42D6">
        <w:rPr>
          <w:rFonts w:ascii="Arial" w:hAnsi="Arial" w:cs="Arial"/>
          <w:sz w:val="22"/>
          <w:szCs w:val="22"/>
        </w:rPr>
        <w:t xml:space="preserve"> For example:</w:t>
      </w:r>
    </w:p>
    <w:p w14:paraId="694EECB4" w14:textId="77777777" w:rsidR="007D42D6" w:rsidRPr="007D42D6" w:rsidRDefault="007D42D6" w:rsidP="007D42D6">
      <w:pPr>
        <w:spacing w:line="276" w:lineRule="auto"/>
        <w:ind w:left="720"/>
        <w:jc w:val="both"/>
        <w:rPr>
          <w:rFonts w:ascii="Arial" w:hAnsi="Arial" w:cs="Arial"/>
          <w:color w:val="000000"/>
          <w:sz w:val="22"/>
          <w:szCs w:val="22"/>
        </w:rPr>
      </w:pPr>
    </w:p>
    <w:p w14:paraId="287E45AE" w14:textId="2624B560" w:rsidR="00E31939" w:rsidRPr="007D42D6" w:rsidRDefault="00E31939" w:rsidP="007D42D6">
      <w:pPr>
        <w:spacing w:line="276" w:lineRule="auto"/>
        <w:ind w:left="426"/>
        <w:jc w:val="both"/>
        <w:rPr>
          <w:rFonts w:ascii="Arial" w:hAnsi="Arial" w:cs="Arial"/>
          <w:i/>
          <w:color w:val="000000"/>
          <w:sz w:val="22"/>
          <w:szCs w:val="22"/>
        </w:rPr>
      </w:pPr>
      <w:r w:rsidRPr="007D42D6">
        <w:rPr>
          <w:rFonts w:ascii="Arial" w:hAnsi="Arial" w:cs="Arial"/>
          <w:i/>
          <w:color w:val="000000"/>
          <w:sz w:val="22"/>
          <w:szCs w:val="22"/>
        </w:rPr>
        <w:t>A person must not (either alone or with others) enter into, or carry out (to any extent), a scheme if it is reasonable to conclude that a purpose of the person doing so is to prevent a contract (the </w:t>
      </w:r>
      <w:r w:rsidRPr="007D42D6">
        <w:rPr>
          <w:rFonts w:ascii="Arial" w:hAnsi="Arial" w:cs="Arial"/>
          <w:b/>
          <w:bCs/>
          <w:i/>
          <w:iCs/>
          <w:color w:val="000000"/>
          <w:sz w:val="22"/>
          <w:szCs w:val="22"/>
        </w:rPr>
        <w:t>contrived contract</w:t>
      </w:r>
      <w:r w:rsidRPr="007D42D6">
        <w:rPr>
          <w:rFonts w:ascii="Arial" w:hAnsi="Arial" w:cs="Arial"/>
          <w:i/>
          <w:color w:val="000000"/>
          <w:sz w:val="22"/>
          <w:szCs w:val="22"/>
        </w:rPr>
        <w:t>) covered by the following paragraphs from being a regulated contract or a regulated consumer lease:</w:t>
      </w:r>
    </w:p>
    <w:p w14:paraId="4F5EAC5D" w14:textId="50C52AC6" w:rsidR="007D42D6" w:rsidRPr="007D42D6" w:rsidRDefault="00E31939" w:rsidP="007D42D6">
      <w:pPr>
        <w:pStyle w:val="ListParagraph"/>
        <w:numPr>
          <w:ilvl w:val="0"/>
          <w:numId w:val="40"/>
        </w:numPr>
        <w:spacing w:line="276" w:lineRule="auto"/>
        <w:ind w:left="1276"/>
        <w:jc w:val="both"/>
        <w:rPr>
          <w:rFonts w:ascii="Arial" w:hAnsi="Arial" w:cs="Arial"/>
          <w:i/>
          <w:color w:val="000000"/>
          <w:sz w:val="22"/>
          <w:szCs w:val="22"/>
        </w:rPr>
      </w:pPr>
      <w:r w:rsidRPr="007D42D6">
        <w:rPr>
          <w:rFonts w:ascii="Arial" w:hAnsi="Arial" w:cs="Arial"/>
          <w:i/>
          <w:color w:val="000000"/>
          <w:sz w:val="22"/>
          <w:szCs w:val="22"/>
        </w:rPr>
        <w:t>the contract is between a consumer and either the person or someone else who is or was connected with the person;</w:t>
      </w:r>
    </w:p>
    <w:p w14:paraId="3DEC109A" w14:textId="2A6CB446" w:rsidR="00E31939" w:rsidRPr="007D42D6" w:rsidRDefault="00E31939" w:rsidP="007D42D6">
      <w:pPr>
        <w:pStyle w:val="ListParagraph"/>
        <w:numPr>
          <w:ilvl w:val="0"/>
          <w:numId w:val="40"/>
        </w:numPr>
        <w:spacing w:line="276" w:lineRule="auto"/>
        <w:ind w:left="1276"/>
        <w:jc w:val="both"/>
        <w:rPr>
          <w:rFonts w:ascii="Arial" w:hAnsi="Arial" w:cs="Arial"/>
          <w:i/>
          <w:color w:val="000000"/>
          <w:sz w:val="22"/>
          <w:szCs w:val="22"/>
        </w:rPr>
      </w:pPr>
      <w:r w:rsidRPr="007D42D6">
        <w:rPr>
          <w:rFonts w:ascii="Arial" w:hAnsi="Arial" w:cs="Arial"/>
          <w:i/>
          <w:color w:val="000000"/>
          <w:sz w:val="22"/>
          <w:szCs w:val="22"/>
        </w:rPr>
        <w:t>the contract is connected with the scheme.</w:t>
      </w:r>
    </w:p>
    <w:p w14:paraId="2445C355" w14:textId="57A35B7A" w:rsidR="00E31939" w:rsidRPr="007D42D6" w:rsidRDefault="00E31939" w:rsidP="007D42D6">
      <w:pPr>
        <w:spacing w:line="276" w:lineRule="auto"/>
        <w:jc w:val="both"/>
        <w:rPr>
          <w:rFonts w:ascii="Arial" w:hAnsi="Arial" w:cs="Arial"/>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346"/>
      </w:tblGrid>
      <w:tr w:rsidR="007D42D6" w:rsidRPr="007D42D6" w14:paraId="2009A5B4" w14:textId="77777777" w:rsidTr="007D42D6">
        <w:tc>
          <w:tcPr>
            <w:tcW w:w="9346" w:type="dxa"/>
            <w:shd w:val="clear" w:color="auto" w:fill="D9D9D9" w:themeFill="background1" w:themeFillShade="D9"/>
          </w:tcPr>
          <w:p w14:paraId="7218B5A6" w14:textId="77777777" w:rsidR="007D42D6" w:rsidRPr="007D42D6" w:rsidRDefault="007D42D6" w:rsidP="007D42D6">
            <w:pPr>
              <w:spacing w:line="276" w:lineRule="auto"/>
              <w:jc w:val="both"/>
              <w:rPr>
                <w:rFonts w:ascii="Arial" w:hAnsi="Arial" w:cs="Arial"/>
                <w:sz w:val="22"/>
                <w:szCs w:val="22"/>
              </w:rPr>
            </w:pPr>
          </w:p>
          <w:p w14:paraId="415BFF56" w14:textId="39261FBB" w:rsidR="007D42D6" w:rsidRPr="007D42D6" w:rsidRDefault="007D42D6" w:rsidP="007D42D6">
            <w:pPr>
              <w:spacing w:line="276" w:lineRule="auto"/>
              <w:jc w:val="both"/>
              <w:rPr>
                <w:rFonts w:ascii="Arial" w:hAnsi="Arial" w:cs="Arial"/>
                <w:sz w:val="22"/>
                <w:szCs w:val="22"/>
              </w:rPr>
            </w:pPr>
            <w:r w:rsidRPr="007D42D6">
              <w:rPr>
                <w:rFonts w:ascii="Arial" w:hAnsi="Arial" w:cs="Arial"/>
                <w:b/>
                <w:sz w:val="22"/>
                <w:szCs w:val="22"/>
              </w:rPr>
              <w:t>Recommendation 15:</w:t>
            </w:r>
            <w:r w:rsidRPr="007D42D6">
              <w:rPr>
                <w:rFonts w:ascii="Arial" w:hAnsi="Arial" w:cs="Arial"/>
                <w:sz w:val="22"/>
                <w:szCs w:val="22"/>
              </w:rPr>
              <w:t xml:space="preserve"> That the anti-avoidance provisions be amended to </w:t>
            </w:r>
            <w:r>
              <w:rPr>
                <w:rFonts w:ascii="Arial" w:hAnsi="Arial" w:cs="Arial"/>
                <w:sz w:val="22"/>
                <w:szCs w:val="22"/>
              </w:rPr>
              <w:t>clarify</w:t>
            </w:r>
            <w:r w:rsidRPr="007D42D6">
              <w:rPr>
                <w:rFonts w:ascii="Arial" w:hAnsi="Arial" w:cs="Arial"/>
                <w:sz w:val="22"/>
                <w:szCs w:val="22"/>
              </w:rPr>
              <w:t xml:space="preserve"> that the principles which apply to establishing whether particular scheme amounts to avoidance are equally applicable to the determination required under </w:t>
            </w:r>
            <w:r>
              <w:rPr>
                <w:rFonts w:ascii="Arial" w:hAnsi="Arial" w:cs="Arial"/>
                <w:sz w:val="22"/>
                <w:szCs w:val="22"/>
              </w:rPr>
              <w:t>s</w:t>
            </w:r>
            <w:r w:rsidRPr="007D42D6">
              <w:rPr>
                <w:rFonts w:ascii="Arial" w:hAnsi="Arial" w:cs="Arial"/>
                <w:sz w:val="22"/>
                <w:szCs w:val="22"/>
              </w:rPr>
              <w:t>323B.</w:t>
            </w:r>
          </w:p>
          <w:p w14:paraId="4572C088" w14:textId="77777777" w:rsidR="007D42D6" w:rsidRPr="007D42D6" w:rsidRDefault="007D42D6" w:rsidP="007D42D6">
            <w:pPr>
              <w:spacing w:line="276" w:lineRule="auto"/>
              <w:jc w:val="both"/>
              <w:rPr>
                <w:rFonts w:ascii="Arial" w:hAnsi="Arial" w:cs="Arial"/>
                <w:sz w:val="22"/>
                <w:szCs w:val="22"/>
              </w:rPr>
            </w:pPr>
          </w:p>
          <w:p w14:paraId="4CDC882F" w14:textId="46AF4469" w:rsidR="007D42D6" w:rsidRPr="007D42D6" w:rsidRDefault="007D42D6" w:rsidP="007D42D6">
            <w:pPr>
              <w:spacing w:line="276" w:lineRule="auto"/>
              <w:jc w:val="both"/>
              <w:rPr>
                <w:rFonts w:ascii="Arial" w:hAnsi="Arial" w:cs="Arial"/>
                <w:sz w:val="22"/>
                <w:szCs w:val="22"/>
              </w:rPr>
            </w:pPr>
            <w:r w:rsidRPr="007D42D6">
              <w:rPr>
                <w:rFonts w:ascii="Arial" w:hAnsi="Arial" w:cs="Arial"/>
                <w:b/>
                <w:sz w:val="22"/>
                <w:szCs w:val="22"/>
              </w:rPr>
              <w:t>Recommendation 16:</w:t>
            </w:r>
            <w:r w:rsidRPr="007D42D6">
              <w:rPr>
                <w:rFonts w:ascii="Arial" w:hAnsi="Arial" w:cs="Arial"/>
                <w:sz w:val="22"/>
                <w:szCs w:val="22"/>
              </w:rPr>
              <w:t xml:space="preserve"> That the anti-avoidance provisions be extended to include avoidance of the credit law more generally, r</w:t>
            </w:r>
            <w:r>
              <w:rPr>
                <w:rFonts w:ascii="Arial" w:hAnsi="Arial" w:cs="Arial"/>
                <w:sz w:val="22"/>
                <w:szCs w:val="22"/>
              </w:rPr>
              <w:t>ather than simply the SACC and c</w:t>
            </w:r>
            <w:r w:rsidRPr="007D42D6">
              <w:rPr>
                <w:rFonts w:ascii="Arial" w:hAnsi="Arial" w:cs="Arial"/>
                <w:sz w:val="22"/>
                <w:szCs w:val="22"/>
              </w:rPr>
              <w:t xml:space="preserve">onsumer </w:t>
            </w:r>
            <w:r>
              <w:rPr>
                <w:rFonts w:ascii="Arial" w:hAnsi="Arial" w:cs="Arial"/>
                <w:sz w:val="22"/>
                <w:szCs w:val="22"/>
              </w:rPr>
              <w:t>l</w:t>
            </w:r>
            <w:r w:rsidRPr="007D42D6">
              <w:rPr>
                <w:rFonts w:ascii="Arial" w:hAnsi="Arial" w:cs="Arial"/>
                <w:sz w:val="22"/>
                <w:szCs w:val="22"/>
              </w:rPr>
              <w:t xml:space="preserve">ease provisions. </w:t>
            </w:r>
          </w:p>
          <w:p w14:paraId="7AF4E532" w14:textId="299EA386" w:rsidR="007D42D6" w:rsidRPr="007D42D6" w:rsidRDefault="007D42D6" w:rsidP="007D42D6">
            <w:pPr>
              <w:spacing w:line="276" w:lineRule="auto"/>
              <w:jc w:val="both"/>
              <w:rPr>
                <w:rFonts w:ascii="Arial" w:hAnsi="Arial" w:cs="Arial"/>
                <w:sz w:val="22"/>
                <w:szCs w:val="22"/>
              </w:rPr>
            </w:pPr>
          </w:p>
        </w:tc>
      </w:tr>
    </w:tbl>
    <w:p w14:paraId="4876A2AC" w14:textId="15D84A37" w:rsidR="007D42D6" w:rsidRPr="007D42D6" w:rsidRDefault="007D42D6" w:rsidP="007D42D6">
      <w:pPr>
        <w:spacing w:line="276" w:lineRule="auto"/>
        <w:jc w:val="both"/>
        <w:rPr>
          <w:rFonts w:ascii="Arial" w:hAnsi="Arial" w:cs="Arial"/>
          <w:sz w:val="22"/>
          <w:szCs w:val="22"/>
        </w:rPr>
      </w:pPr>
    </w:p>
    <w:p w14:paraId="25A3E524" w14:textId="569F140A" w:rsidR="00C90FB0" w:rsidRPr="00C90FB0" w:rsidRDefault="00C90FB0" w:rsidP="00092F84">
      <w:pPr>
        <w:spacing w:line="276" w:lineRule="auto"/>
        <w:jc w:val="both"/>
        <w:rPr>
          <w:rFonts w:ascii="Arial" w:hAnsi="Arial" w:cs="Arial"/>
          <w:b/>
          <w:sz w:val="22"/>
          <w:szCs w:val="22"/>
        </w:rPr>
      </w:pPr>
      <w:r w:rsidRPr="00C90FB0">
        <w:rPr>
          <w:rFonts w:ascii="Arial" w:hAnsi="Arial" w:cs="Arial"/>
          <w:b/>
          <w:sz w:val="22"/>
          <w:szCs w:val="22"/>
        </w:rPr>
        <w:t>Item</w:t>
      </w:r>
      <w:r>
        <w:rPr>
          <w:rFonts w:ascii="Arial" w:hAnsi="Arial" w:cs="Arial"/>
          <w:b/>
          <w:sz w:val="22"/>
          <w:szCs w:val="22"/>
        </w:rPr>
        <w:t>s</w:t>
      </w:r>
      <w:r w:rsidRPr="00C90FB0">
        <w:rPr>
          <w:rFonts w:ascii="Arial" w:hAnsi="Arial" w:cs="Arial"/>
          <w:b/>
          <w:sz w:val="22"/>
          <w:szCs w:val="22"/>
        </w:rPr>
        <w:t xml:space="preserve"> 42</w:t>
      </w:r>
      <w:r>
        <w:rPr>
          <w:rFonts w:ascii="Arial" w:hAnsi="Arial" w:cs="Arial"/>
          <w:b/>
          <w:sz w:val="22"/>
          <w:szCs w:val="22"/>
        </w:rPr>
        <w:t>, 45 and 66</w:t>
      </w:r>
      <w:r w:rsidRPr="00C90FB0">
        <w:rPr>
          <w:rFonts w:ascii="Arial" w:hAnsi="Arial" w:cs="Arial"/>
          <w:b/>
          <w:sz w:val="22"/>
          <w:szCs w:val="22"/>
        </w:rPr>
        <w:t xml:space="preserve"> – Prohibition on unexpired permitted monthly fees</w:t>
      </w:r>
      <w:r w:rsidR="0011336C">
        <w:rPr>
          <w:rStyle w:val="FootnoteReference"/>
          <w:rFonts w:ascii="Arial" w:hAnsi="Arial" w:cs="Arial"/>
          <w:b/>
          <w:sz w:val="22"/>
          <w:szCs w:val="22"/>
        </w:rPr>
        <w:footnoteReference w:id="35"/>
      </w:r>
    </w:p>
    <w:p w14:paraId="68A425EF" w14:textId="5D6B8E8E" w:rsidR="00C90FB0" w:rsidRDefault="00C90FB0" w:rsidP="00092F84">
      <w:pPr>
        <w:spacing w:line="276" w:lineRule="auto"/>
        <w:jc w:val="both"/>
        <w:rPr>
          <w:rFonts w:ascii="Arial" w:hAnsi="Arial" w:cs="Arial"/>
          <w:sz w:val="22"/>
          <w:szCs w:val="22"/>
        </w:rPr>
      </w:pPr>
    </w:p>
    <w:p w14:paraId="0248BAA7" w14:textId="35DE4592" w:rsidR="00C90FB0" w:rsidRDefault="00C90FB0" w:rsidP="00092F84">
      <w:pPr>
        <w:spacing w:line="276" w:lineRule="auto"/>
        <w:jc w:val="both"/>
        <w:rPr>
          <w:rFonts w:ascii="Arial" w:hAnsi="Arial" w:cs="Arial"/>
          <w:sz w:val="22"/>
          <w:szCs w:val="22"/>
        </w:rPr>
      </w:pPr>
      <w:r>
        <w:rPr>
          <w:rFonts w:ascii="Arial" w:hAnsi="Arial" w:cs="Arial"/>
          <w:sz w:val="22"/>
          <w:szCs w:val="22"/>
        </w:rPr>
        <w:t xml:space="preserve">Under the Bill, SACC providers </w:t>
      </w:r>
      <w:r w:rsidR="00E9256F">
        <w:rPr>
          <w:rFonts w:ascii="Arial" w:hAnsi="Arial" w:cs="Arial"/>
          <w:sz w:val="22"/>
          <w:szCs w:val="22"/>
        </w:rPr>
        <w:t>will</w:t>
      </w:r>
      <w:r>
        <w:rPr>
          <w:rFonts w:ascii="Arial" w:hAnsi="Arial" w:cs="Arial"/>
          <w:sz w:val="22"/>
          <w:szCs w:val="22"/>
        </w:rPr>
        <w:t xml:space="preserve"> be prohibited from charging or requiring payment of an ‘unexpired permitted monthly fee’ where the consumer has fully repaid the balance of the SACC before the end of the original term. </w:t>
      </w:r>
      <w:r w:rsidR="00236E07">
        <w:rPr>
          <w:rFonts w:ascii="Arial" w:hAnsi="Arial" w:cs="Arial"/>
          <w:sz w:val="22"/>
          <w:szCs w:val="22"/>
        </w:rPr>
        <w:t xml:space="preserve">We strongly support this reform, which would encourage people to repay expensive payday loans more quickly. </w:t>
      </w:r>
    </w:p>
    <w:p w14:paraId="54A826F7" w14:textId="04AF6E73" w:rsidR="00DD2A82" w:rsidRDefault="00DD2A82" w:rsidP="00092F84">
      <w:pPr>
        <w:spacing w:line="276" w:lineRule="auto"/>
        <w:jc w:val="both"/>
        <w:rPr>
          <w:rFonts w:ascii="Arial" w:hAnsi="Arial" w:cs="Arial"/>
          <w:sz w:val="22"/>
          <w:szCs w:val="22"/>
        </w:rPr>
      </w:pPr>
    </w:p>
    <w:p w14:paraId="592CEBEC" w14:textId="2FD4FC48" w:rsidR="00DD2A82" w:rsidRDefault="00DD2A82" w:rsidP="00092F84">
      <w:pPr>
        <w:spacing w:line="276" w:lineRule="auto"/>
        <w:jc w:val="both"/>
        <w:rPr>
          <w:rFonts w:ascii="Arial" w:hAnsi="Arial" w:cs="Arial"/>
          <w:sz w:val="22"/>
          <w:szCs w:val="22"/>
        </w:rPr>
      </w:pPr>
      <w:r>
        <w:rPr>
          <w:rFonts w:ascii="Arial" w:hAnsi="Arial" w:cs="Arial"/>
          <w:sz w:val="22"/>
          <w:szCs w:val="22"/>
        </w:rPr>
        <w:t>The term ‘unexpired permitted monthly fee’ is defined in Item 66 as ‘each permitted monthly fee</w:t>
      </w:r>
      <w:r w:rsidR="00E9256F">
        <w:rPr>
          <w:rFonts w:ascii="Arial" w:hAnsi="Arial" w:cs="Arial"/>
          <w:sz w:val="22"/>
          <w:szCs w:val="22"/>
        </w:rPr>
        <w:t xml:space="preserve"> that is in respect of a month</w:t>
      </w:r>
      <w:r>
        <w:rPr>
          <w:rFonts w:ascii="Arial" w:hAnsi="Arial" w:cs="Arial"/>
          <w:sz w:val="22"/>
          <w:szCs w:val="22"/>
        </w:rPr>
        <w:t xml:space="preserve"> that commences after the date of pay out or other discharge of that contract’. In practice, this means that if a monthly fee is billed on 1 June 2017, and a </w:t>
      </w:r>
      <w:r w:rsidR="00236E07">
        <w:rPr>
          <w:rFonts w:ascii="Arial" w:hAnsi="Arial" w:cs="Arial"/>
          <w:sz w:val="22"/>
          <w:szCs w:val="22"/>
        </w:rPr>
        <w:t>person</w:t>
      </w:r>
      <w:r>
        <w:rPr>
          <w:rFonts w:ascii="Arial" w:hAnsi="Arial" w:cs="Arial"/>
          <w:sz w:val="22"/>
          <w:szCs w:val="22"/>
        </w:rPr>
        <w:t xml:space="preserve"> pays out the loan on 2 June 2017, then the </w:t>
      </w:r>
      <w:r w:rsidR="00236E07">
        <w:rPr>
          <w:rFonts w:ascii="Arial" w:hAnsi="Arial" w:cs="Arial"/>
          <w:sz w:val="22"/>
          <w:szCs w:val="22"/>
        </w:rPr>
        <w:t>person</w:t>
      </w:r>
      <w:r>
        <w:rPr>
          <w:rFonts w:ascii="Arial" w:hAnsi="Arial" w:cs="Arial"/>
          <w:sz w:val="22"/>
          <w:szCs w:val="22"/>
        </w:rPr>
        <w:t xml:space="preserve"> would still be liable for the entire June monthly fee. We believe it would be fairer for the </w:t>
      </w:r>
      <w:r w:rsidR="0094630B">
        <w:rPr>
          <w:rFonts w:ascii="Arial" w:hAnsi="Arial" w:cs="Arial"/>
          <w:sz w:val="22"/>
          <w:szCs w:val="22"/>
        </w:rPr>
        <w:t xml:space="preserve">final </w:t>
      </w:r>
      <w:r>
        <w:rPr>
          <w:rFonts w:ascii="Arial" w:hAnsi="Arial" w:cs="Arial"/>
          <w:sz w:val="22"/>
          <w:szCs w:val="22"/>
        </w:rPr>
        <w:t xml:space="preserve">monthly fee to be calculated on a pro-rata basis. </w:t>
      </w:r>
    </w:p>
    <w:p w14:paraId="5233AF34" w14:textId="311FFA03" w:rsidR="0094630B" w:rsidRDefault="0094630B" w:rsidP="00092F84">
      <w:pPr>
        <w:spacing w:line="276" w:lineRule="auto"/>
        <w:jc w:val="both"/>
        <w:rPr>
          <w:rFonts w:ascii="Arial" w:hAnsi="Arial" w:cs="Arial"/>
          <w:sz w:val="22"/>
          <w:szCs w:val="22"/>
        </w:rPr>
      </w:pPr>
    </w:p>
    <w:p w14:paraId="32C70A79" w14:textId="1072AD2B" w:rsidR="0094630B" w:rsidRDefault="0094630B" w:rsidP="00092F84">
      <w:pPr>
        <w:spacing w:line="276" w:lineRule="auto"/>
        <w:jc w:val="both"/>
        <w:rPr>
          <w:rFonts w:ascii="Arial" w:hAnsi="Arial" w:cs="Arial"/>
          <w:sz w:val="22"/>
          <w:szCs w:val="22"/>
        </w:rPr>
      </w:pPr>
      <w:r>
        <w:rPr>
          <w:rFonts w:ascii="Arial" w:hAnsi="Arial" w:cs="Arial"/>
          <w:sz w:val="22"/>
          <w:szCs w:val="22"/>
        </w:rPr>
        <w:t xml:space="preserve">Further, the amount required to pay out a SACC under Item 45 would be the principal amount of credit, all fees and charges up to the date of termination and reasonable enforcement expenses. We are concerned that the wording of this section leaves scope for SACC providers to make additional fees payable for early termination in contracts, or to seek excessive ‘enforcement expenses’. We recommend clarifying that </w:t>
      </w:r>
      <w:r w:rsidR="00166734">
        <w:rPr>
          <w:rFonts w:ascii="Arial" w:hAnsi="Arial" w:cs="Arial"/>
          <w:sz w:val="22"/>
          <w:szCs w:val="22"/>
        </w:rPr>
        <w:t xml:space="preserve">the fees and charges referred to in Item 45 (s45(3)(b)) are limited to the fees in s31A(1) of the </w:t>
      </w:r>
      <w:r w:rsidR="00166734" w:rsidRPr="00C63C76">
        <w:rPr>
          <w:rFonts w:ascii="Arial" w:hAnsi="Arial" w:cs="Arial"/>
          <w:i/>
          <w:sz w:val="22"/>
          <w:szCs w:val="22"/>
        </w:rPr>
        <w:t>National Credit Code</w:t>
      </w:r>
      <w:r w:rsidR="00166734">
        <w:rPr>
          <w:rFonts w:ascii="Arial" w:hAnsi="Arial" w:cs="Arial"/>
          <w:sz w:val="22"/>
          <w:szCs w:val="22"/>
        </w:rPr>
        <w:t>.</w:t>
      </w:r>
      <w:r w:rsidR="002A11AD">
        <w:rPr>
          <w:rStyle w:val="FootnoteReference"/>
          <w:rFonts w:ascii="Arial" w:hAnsi="Arial" w:cs="Arial"/>
          <w:sz w:val="22"/>
          <w:szCs w:val="22"/>
        </w:rPr>
        <w:footnoteReference w:id="36"/>
      </w:r>
      <w:r w:rsidR="00166734">
        <w:rPr>
          <w:rFonts w:ascii="Arial" w:hAnsi="Arial" w:cs="Arial"/>
          <w:sz w:val="22"/>
          <w:szCs w:val="22"/>
        </w:rPr>
        <w:t xml:space="preserve"> We also recommend</w:t>
      </w:r>
      <w:r>
        <w:rPr>
          <w:rFonts w:ascii="Arial" w:hAnsi="Arial" w:cs="Arial"/>
          <w:sz w:val="22"/>
          <w:szCs w:val="22"/>
        </w:rPr>
        <w:t xml:space="preserve"> permitting ASIC to declare by legislative instrument that specified fees are ‘reasonable enforcement expenses’.</w:t>
      </w:r>
    </w:p>
    <w:p w14:paraId="23632636" w14:textId="512453D7" w:rsidR="00236E07" w:rsidRDefault="00236E07" w:rsidP="00092F84">
      <w:pPr>
        <w:spacing w:line="276" w:lineRule="auto"/>
        <w:jc w:val="both"/>
        <w:rPr>
          <w:rFonts w:ascii="Arial" w:hAnsi="Arial" w:cs="Arial"/>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346"/>
      </w:tblGrid>
      <w:tr w:rsidR="00236E07" w14:paraId="1B54F01A" w14:textId="77777777" w:rsidTr="0094630B">
        <w:tc>
          <w:tcPr>
            <w:tcW w:w="9346" w:type="dxa"/>
            <w:shd w:val="clear" w:color="auto" w:fill="D9D9D9" w:themeFill="background1" w:themeFillShade="D9"/>
          </w:tcPr>
          <w:p w14:paraId="7CD7EC82" w14:textId="77777777" w:rsidR="00236E07" w:rsidRDefault="00236E07" w:rsidP="00092F84">
            <w:pPr>
              <w:spacing w:line="276" w:lineRule="auto"/>
              <w:jc w:val="both"/>
              <w:rPr>
                <w:rFonts w:ascii="Arial" w:hAnsi="Arial" w:cs="Arial"/>
                <w:sz w:val="22"/>
                <w:szCs w:val="22"/>
              </w:rPr>
            </w:pPr>
          </w:p>
          <w:p w14:paraId="6016E7D3" w14:textId="24B34764" w:rsidR="00236E07" w:rsidRDefault="00236E07" w:rsidP="00092F84">
            <w:pPr>
              <w:spacing w:line="276" w:lineRule="auto"/>
              <w:jc w:val="both"/>
              <w:rPr>
                <w:rFonts w:ascii="Arial" w:hAnsi="Arial" w:cs="Arial"/>
                <w:sz w:val="22"/>
                <w:szCs w:val="22"/>
              </w:rPr>
            </w:pPr>
            <w:r w:rsidRPr="00236E07">
              <w:rPr>
                <w:rFonts w:ascii="Arial" w:hAnsi="Arial" w:cs="Arial"/>
                <w:b/>
                <w:sz w:val="22"/>
                <w:szCs w:val="22"/>
              </w:rPr>
              <w:t xml:space="preserve">Recommendation </w:t>
            </w:r>
            <w:r w:rsidR="007D42D6">
              <w:rPr>
                <w:rFonts w:ascii="Arial" w:hAnsi="Arial" w:cs="Arial"/>
                <w:b/>
                <w:sz w:val="22"/>
                <w:szCs w:val="22"/>
              </w:rPr>
              <w:t>17</w:t>
            </w:r>
            <w:r w:rsidRPr="00236E07">
              <w:rPr>
                <w:rFonts w:ascii="Arial" w:hAnsi="Arial" w:cs="Arial"/>
                <w:b/>
                <w:sz w:val="22"/>
                <w:szCs w:val="22"/>
              </w:rPr>
              <w:t xml:space="preserve">: </w:t>
            </w:r>
            <w:r>
              <w:rPr>
                <w:rFonts w:ascii="Arial" w:hAnsi="Arial" w:cs="Arial"/>
                <w:sz w:val="22"/>
                <w:szCs w:val="22"/>
              </w:rPr>
              <w:t>Amend the defini</w:t>
            </w:r>
            <w:r w:rsidR="0094630B">
              <w:rPr>
                <w:rFonts w:ascii="Arial" w:hAnsi="Arial" w:cs="Arial"/>
                <w:sz w:val="22"/>
                <w:szCs w:val="22"/>
              </w:rPr>
              <w:t>tion of ‘unexpired permitted monthly fee’ to ensure the final monthly fee</w:t>
            </w:r>
            <w:r w:rsidR="00E9256F">
              <w:rPr>
                <w:rFonts w:ascii="Arial" w:hAnsi="Arial" w:cs="Arial"/>
                <w:sz w:val="22"/>
                <w:szCs w:val="22"/>
              </w:rPr>
              <w:t xml:space="preserve"> payable</w:t>
            </w:r>
            <w:r w:rsidR="0094630B">
              <w:rPr>
                <w:rFonts w:ascii="Arial" w:hAnsi="Arial" w:cs="Arial"/>
                <w:sz w:val="22"/>
                <w:szCs w:val="22"/>
              </w:rPr>
              <w:t xml:space="preserve"> is calculated on a pro-rata basis.</w:t>
            </w:r>
          </w:p>
          <w:p w14:paraId="62D35D0D" w14:textId="26B59569" w:rsidR="0094630B" w:rsidRDefault="0094630B" w:rsidP="00092F84">
            <w:pPr>
              <w:spacing w:line="276" w:lineRule="auto"/>
              <w:jc w:val="both"/>
              <w:rPr>
                <w:rFonts w:ascii="Arial" w:hAnsi="Arial" w:cs="Arial"/>
                <w:sz w:val="22"/>
                <w:szCs w:val="22"/>
              </w:rPr>
            </w:pPr>
          </w:p>
          <w:p w14:paraId="1F319AAA" w14:textId="573AB82B" w:rsidR="0094630B" w:rsidRDefault="0094630B" w:rsidP="00092F84">
            <w:pPr>
              <w:spacing w:line="276" w:lineRule="auto"/>
              <w:jc w:val="both"/>
              <w:rPr>
                <w:rFonts w:ascii="Arial" w:hAnsi="Arial" w:cs="Arial"/>
                <w:sz w:val="22"/>
                <w:szCs w:val="22"/>
              </w:rPr>
            </w:pPr>
            <w:r w:rsidRPr="0094630B">
              <w:rPr>
                <w:rFonts w:ascii="Arial" w:hAnsi="Arial" w:cs="Arial"/>
                <w:b/>
                <w:sz w:val="22"/>
                <w:szCs w:val="22"/>
              </w:rPr>
              <w:t xml:space="preserve">Recommendation </w:t>
            </w:r>
            <w:r w:rsidR="007D42D6">
              <w:rPr>
                <w:rFonts w:ascii="Arial" w:hAnsi="Arial" w:cs="Arial"/>
                <w:b/>
                <w:sz w:val="22"/>
                <w:szCs w:val="22"/>
              </w:rPr>
              <w:t>18:</w:t>
            </w:r>
            <w:r>
              <w:rPr>
                <w:rFonts w:ascii="Arial" w:hAnsi="Arial" w:cs="Arial"/>
                <w:sz w:val="22"/>
                <w:szCs w:val="22"/>
              </w:rPr>
              <w:t xml:space="preserve"> Clarify </w:t>
            </w:r>
            <w:r w:rsidR="00166734">
              <w:rPr>
                <w:rFonts w:ascii="Arial" w:hAnsi="Arial" w:cs="Arial"/>
                <w:sz w:val="22"/>
                <w:szCs w:val="22"/>
              </w:rPr>
              <w:t xml:space="preserve">that the fees and charges referred to in Item 45 (s45(3)(b)) are limited to the fees in s31A(1) of the </w:t>
            </w:r>
            <w:r w:rsidR="00166734" w:rsidRPr="00C63C76">
              <w:rPr>
                <w:rFonts w:ascii="Arial" w:hAnsi="Arial" w:cs="Arial"/>
                <w:i/>
                <w:sz w:val="22"/>
                <w:szCs w:val="22"/>
              </w:rPr>
              <w:t>National Credit Code</w:t>
            </w:r>
            <w:r w:rsidR="00166734">
              <w:rPr>
                <w:rFonts w:ascii="Arial" w:hAnsi="Arial" w:cs="Arial"/>
                <w:sz w:val="22"/>
                <w:szCs w:val="22"/>
              </w:rPr>
              <w:t>.</w:t>
            </w:r>
          </w:p>
          <w:p w14:paraId="03CCCD66" w14:textId="75C6CEB7" w:rsidR="00166734" w:rsidRDefault="00166734" w:rsidP="00092F84">
            <w:pPr>
              <w:spacing w:line="276" w:lineRule="auto"/>
              <w:jc w:val="both"/>
              <w:rPr>
                <w:rFonts w:ascii="Arial" w:hAnsi="Arial" w:cs="Arial"/>
                <w:sz w:val="22"/>
                <w:szCs w:val="22"/>
              </w:rPr>
            </w:pPr>
          </w:p>
          <w:p w14:paraId="47E10FB4" w14:textId="1B5A35B4" w:rsidR="00166734" w:rsidRPr="00166734" w:rsidRDefault="00166734" w:rsidP="00092F84">
            <w:pPr>
              <w:spacing w:line="276" w:lineRule="auto"/>
              <w:jc w:val="both"/>
              <w:rPr>
                <w:rFonts w:ascii="Arial" w:hAnsi="Arial" w:cs="Arial"/>
                <w:sz w:val="22"/>
                <w:szCs w:val="22"/>
              </w:rPr>
            </w:pPr>
            <w:r>
              <w:rPr>
                <w:rFonts w:ascii="Arial" w:hAnsi="Arial" w:cs="Arial"/>
                <w:b/>
                <w:sz w:val="22"/>
                <w:szCs w:val="22"/>
              </w:rPr>
              <w:t xml:space="preserve">Recommendation </w:t>
            </w:r>
            <w:r w:rsidR="007D42D6">
              <w:rPr>
                <w:rFonts w:ascii="Arial" w:hAnsi="Arial" w:cs="Arial"/>
                <w:b/>
                <w:sz w:val="22"/>
                <w:szCs w:val="22"/>
              </w:rPr>
              <w:t xml:space="preserve">19: </w:t>
            </w:r>
            <w:r>
              <w:rPr>
                <w:rFonts w:ascii="Arial" w:hAnsi="Arial" w:cs="Arial"/>
                <w:sz w:val="22"/>
                <w:szCs w:val="22"/>
              </w:rPr>
              <w:t>Allow ASIC to declare by legislative instrument that specified fees are ‘reasonable enforcement expenses’.</w:t>
            </w:r>
          </w:p>
          <w:p w14:paraId="5B5D09FC" w14:textId="3383BDD8" w:rsidR="00236E07" w:rsidRDefault="00236E07" w:rsidP="00092F84">
            <w:pPr>
              <w:spacing w:line="276" w:lineRule="auto"/>
              <w:jc w:val="both"/>
              <w:rPr>
                <w:rFonts w:ascii="Arial" w:hAnsi="Arial" w:cs="Arial"/>
                <w:sz w:val="22"/>
                <w:szCs w:val="22"/>
              </w:rPr>
            </w:pPr>
          </w:p>
        </w:tc>
      </w:tr>
    </w:tbl>
    <w:p w14:paraId="2311C6C7" w14:textId="77777777" w:rsidR="001F753C" w:rsidRDefault="001F753C" w:rsidP="00092F84">
      <w:pPr>
        <w:spacing w:line="276" w:lineRule="auto"/>
        <w:jc w:val="both"/>
        <w:rPr>
          <w:rFonts w:ascii="Arial" w:hAnsi="Arial" w:cs="Arial"/>
          <w:sz w:val="22"/>
          <w:szCs w:val="22"/>
        </w:rPr>
      </w:pPr>
    </w:p>
    <w:p w14:paraId="4DAEE712" w14:textId="501EF415" w:rsidR="002A11AD" w:rsidRDefault="001F753C" w:rsidP="00092F84">
      <w:pPr>
        <w:spacing w:line="276" w:lineRule="auto"/>
        <w:jc w:val="both"/>
        <w:rPr>
          <w:rFonts w:ascii="Arial" w:hAnsi="Arial" w:cs="Arial"/>
          <w:b/>
          <w:sz w:val="22"/>
          <w:szCs w:val="22"/>
        </w:rPr>
      </w:pPr>
      <w:r w:rsidRPr="001F753C">
        <w:rPr>
          <w:rFonts w:ascii="Arial" w:hAnsi="Arial" w:cs="Arial"/>
          <w:b/>
          <w:sz w:val="22"/>
          <w:szCs w:val="22"/>
        </w:rPr>
        <w:t xml:space="preserve">Item 55 </w:t>
      </w:r>
      <w:r w:rsidR="00497CBA">
        <w:rPr>
          <w:rFonts w:ascii="Arial" w:hAnsi="Arial" w:cs="Arial"/>
          <w:b/>
          <w:sz w:val="22"/>
          <w:szCs w:val="22"/>
        </w:rPr>
        <w:t>–</w:t>
      </w:r>
      <w:r w:rsidRPr="001F753C">
        <w:rPr>
          <w:rFonts w:ascii="Arial" w:hAnsi="Arial" w:cs="Arial"/>
          <w:b/>
          <w:sz w:val="22"/>
          <w:szCs w:val="22"/>
        </w:rPr>
        <w:t xml:space="preserve"> </w:t>
      </w:r>
      <w:r w:rsidR="00497CBA">
        <w:rPr>
          <w:rFonts w:ascii="Arial" w:hAnsi="Arial" w:cs="Arial"/>
          <w:b/>
          <w:sz w:val="22"/>
          <w:szCs w:val="22"/>
        </w:rPr>
        <w:t>Disclosure of total cost and base price for household goods</w:t>
      </w:r>
      <w:r w:rsidR="0011336C">
        <w:rPr>
          <w:rStyle w:val="FootnoteReference"/>
          <w:rFonts w:ascii="Arial" w:hAnsi="Arial" w:cs="Arial"/>
          <w:b/>
          <w:sz w:val="22"/>
          <w:szCs w:val="22"/>
        </w:rPr>
        <w:footnoteReference w:id="37"/>
      </w:r>
    </w:p>
    <w:p w14:paraId="41D8269F" w14:textId="19896E93" w:rsidR="00497CBA" w:rsidRDefault="00497CBA" w:rsidP="00092F84">
      <w:pPr>
        <w:spacing w:line="276" w:lineRule="auto"/>
        <w:jc w:val="both"/>
        <w:rPr>
          <w:rFonts w:ascii="Arial" w:hAnsi="Arial" w:cs="Arial"/>
          <w:b/>
          <w:sz w:val="22"/>
          <w:szCs w:val="22"/>
        </w:rPr>
      </w:pPr>
    </w:p>
    <w:p w14:paraId="1FAF37D1" w14:textId="3AB1F55A" w:rsidR="00AC03FE" w:rsidRDefault="00497CBA" w:rsidP="00092F84">
      <w:pPr>
        <w:spacing w:line="276" w:lineRule="auto"/>
        <w:jc w:val="both"/>
        <w:rPr>
          <w:rFonts w:ascii="Arial" w:hAnsi="Arial" w:cs="Arial"/>
          <w:sz w:val="22"/>
          <w:szCs w:val="22"/>
        </w:rPr>
      </w:pPr>
      <w:r>
        <w:rPr>
          <w:rFonts w:ascii="Arial" w:hAnsi="Arial" w:cs="Arial"/>
          <w:sz w:val="22"/>
          <w:szCs w:val="22"/>
        </w:rPr>
        <w:t xml:space="preserve">Item 55 requires lessors of household goods to disclose the base price of the goods, and the difference between the base price of the goods and the total amount payable under the lease. </w:t>
      </w:r>
      <w:r w:rsidR="00AC03FE">
        <w:rPr>
          <w:rFonts w:ascii="Arial" w:hAnsi="Arial" w:cs="Arial"/>
          <w:sz w:val="22"/>
          <w:szCs w:val="22"/>
        </w:rPr>
        <w:t>Item 55 also provides that ASIC may by legislative instrument require additional information to be provided. We strongly support this reform, which would assist people to make m</w:t>
      </w:r>
      <w:r w:rsidR="00E9256F">
        <w:rPr>
          <w:rFonts w:ascii="Arial" w:hAnsi="Arial" w:cs="Arial"/>
          <w:sz w:val="22"/>
          <w:szCs w:val="22"/>
        </w:rPr>
        <w:t>ore informed financial choices, and highlight the true cost of consumer leases.</w:t>
      </w:r>
    </w:p>
    <w:p w14:paraId="085E1C00" w14:textId="4E09475C" w:rsidR="00AC03FE" w:rsidRDefault="00AC03FE" w:rsidP="00092F84">
      <w:pPr>
        <w:spacing w:line="276" w:lineRule="auto"/>
        <w:jc w:val="both"/>
        <w:rPr>
          <w:rFonts w:ascii="Arial" w:hAnsi="Arial" w:cs="Arial"/>
          <w:sz w:val="22"/>
          <w:szCs w:val="22"/>
        </w:rPr>
      </w:pPr>
    </w:p>
    <w:p w14:paraId="0E40CA67" w14:textId="74572090" w:rsidR="009D4734" w:rsidRPr="006F4B62" w:rsidRDefault="00AC03FE" w:rsidP="006F4B62">
      <w:pPr>
        <w:spacing w:line="276" w:lineRule="auto"/>
        <w:jc w:val="both"/>
        <w:rPr>
          <w:rFonts w:ascii="Arial" w:hAnsi="Arial" w:cs="Arial"/>
          <w:sz w:val="22"/>
          <w:szCs w:val="22"/>
        </w:rPr>
      </w:pPr>
      <w:r w:rsidRPr="006F4B62">
        <w:rPr>
          <w:rFonts w:ascii="Arial" w:hAnsi="Arial" w:cs="Arial"/>
          <w:sz w:val="22"/>
          <w:szCs w:val="22"/>
        </w:rPr>
        <w:t xml:space="preserve">However, we are concerned that consumer lease providers </w:t>
      </w:r>
      <w:r w:rsidR="001C72C8" w:rsidRPr="006F4B62">
        <w:rPr>
          <w:rFonts w:ascii="Arial" w:hAnsi="Arial" w:cs="Arial"/>
          <w:sz w:val="22"/>
          <w:szCs w:val="22"/>
        </w:rPr>
        <w:t>will</w:t>
      </w:r>
      <w:r w:rsidRPr="006F4B62">
        <w:rPr>
          <w:rFonts w:ascii="Arial" w:hAnsi="Arial" w:cs="Arial"/>
          <w:sz w:val="22"/>
          <w:szCs w:val="22"/>
        </w:rPr>
        <w:t xml:space="preserve"> bury these disclosures in the fine print of their contracts rather than have prices prominently displayed to potential customers. We therefore recommend that Item 55 be amended to require disclosure in advertisements, particularly where </w:t>
      </w:r>
      <w:r w:rsidR="009D4734" w:rsidRPr="006F4B62">
        <w:rPr>
          <w:rFonts w:ascii="Arial" w:hAnsi="Arial" w:cs="Arial"/>
          <w:sz w:val="22"/>
          <w:szCs w:val="22"/>
        </w:rPr>
        <w:t>the advertisements feature</w:t>
      </w:r>
      <w:r w:rsidRPr="006F4B62">
        <w:rPr>
          <w:rFonts w:ascii="Arial" w:hAnsi="Arial" w:cs="Arial"/>
          <w:sz w:val="22"/>
          <w:szCs w:val="22"/>
        </w:rPr>
        <w:t xml:space="preserve"> a weekly repayment amount for a product.</w:t>
      </w:r>
      <w:r w:rsidR="009D4734" w:rsidRPr="006F4B62">
        <w:rPr>
          <w:rStyle w:val="FootnoteReference"/>
          <w:rFonts w:ascii="Arial" w:hAnsi="Arial" w:cs="Arial"/>
          <w:sz w:val="22"/>
          <w:szCs w:val="22"/>
        </w:rPr>
        <w:footnoteReference w:id="38"/>
      </w:r>
      <w:r w:rsidRPr="006F4B62">
        <w:rPr>
          <w:rFonts w:ascii="Arial" w:hAnsi="Arial" w:cs="Arial"/>
          <w:sz w:val="22"/>
          <w:szCs w:val="22"/>
        </w:rPr>
        <w:t xml:space="preserve"> This would avoid consumers focussing on a low weekly repayment amount, rather than the </w:t>
      </w:r>
      <w:r w:rsidR="009D4734" w:rsidRPr="006F4B62">
        <w:rPr>
          <w:rFonts w:ascii="Arial" w:hAnsi="Arial" w:cs="Arial"/>
          <w:sz w:val="22"/>
          <w:szCs w:val="22"/>
        </w:rPr>
        <w:t>overall</w:t>
      </w:r>
      <w:r w:rsidRPr="006F4B62">
        <w:rPr>
          <w:rFonts w:ascii="Arial" w:hAnsi="Arial" w:cs="Arial"/>
          <w:sz w:val="22"/>
          <w:szCs w:val="22"/>
        </w:rPr>
        <w:t xml:space="preserve"> cost. We also recommend </w:t>
      </w:r>
      <w:r w:rsidR="007C34EE" w:rsidRPr="006F4B62">
        <w:rPr>
          <w:rFonts w:ascii="Arial" w:hAnsi="Arial" w:cs="Arial"/>
          <w:sz w:val="22"/>
          <w:szCs w:val="22"/>
        </w:rPr>
        <w:t>requiring</w:t>
      </w:r>
      <w:r w:rsidR="009D4734" w:rsidRPr="006F4B62">
        <w:rPr>
          <w:rFonts w:ascii="Arial" w:hAnsi="Arial" w:cs="Arial"/>
          <w:sz w:val="22"/>
          <w:szCs w:val="22"/>
        </w:rPr>
        <w:t xml:space="preserve"> disclosures </w:t>
      </w:r>
      <w:r w:rsidR="007C34EE" w:rsidRPr="006F4B62">
        <w:rPr>
          <w:rFonts w:ascii="Arial" w:hAnsi="Arial" w:cs="Arial"/>
          <w:sz w:val="22"/>
          <w:szCs w:val="22"/>
        </w:rPr>
        <w:t xml:space="preserve">to </w:t>
      </w:r>
      <w:r w:rsidR="009D4734" w:rsidRPr="006F4B62">
        <w:rPr>
          <w:rFonts w:ascii="Arial" w:hAnsi="Arial" w:cs="Arial"/>
          <w:sz w:val="22"/>
          <w:szCs w:val="22"/>
        </w:rPr>
        <w:t xml:space="preserve">be prominent in any credit advertising, </w:t>
      </w:r>
      <w:r w:rsidR="001C72C8" w:rsidRPr="006F4B62">
        <w:rPr>
          <w:rFonts w:ascii="Arial" w:hAnsi="Arial" w:cs="Arial"/>
          <w:sz w:val="22"/>
          <w:szCs w:val="22"/>
        </w:rPr>
        <w:t>similar to</w:t>
      </w:r>
      <w:r w:rsidR="009D4734" w:rsidRPr="006F4B62">
        <w:rPr>
          <w:rFonts w:ascii="Arial" w:hAnsi="Arial" w:cs="Arial"/>
          <w:sz w:val="22"/>
          <w:szCs w:val="22"/>
        </w:rPr>
        <w:t xml:space="preserve"> the requirements under section 164 of the </w:t>
      </w:r>
      <w:r w:rsidR="009D4734" w:rsidRPr="006F4B62">
        <w:rPr>
          <w:rFonts w:ascii="Arial" w:hAnsi="Arial" w:cs="Arial"/>
          <w:i/>
          <w:sz w:val="22"/>
          <w:szCs w:val="22"/>
        </w:rPr>
        <w:t>National Credit Code</w:t>
      </w:r>
      <w:r w:rsidR="009D4734" w:rsidRPr="006F4B62">
        <w:rPr>
          <w:rFonts w:ascii="Arial" w:hAnsi="Arial" w:cs="Arial"/>
          <w:sz w:val="22"/>
          <w:szCs w:val="22"/>
        </w:rPr>
        <w:t>.</w:t>
      </w:r>
      <w:r w:rsidR="009D4734" w:rsidRPr="006F4B62">
        <w:rPr>
          <w:rStyle w:val="FootnoteReference"/>
          <w:rFonts w:ascii="Arial" w:hAnsi="Arial" w:cs="Arial"/>
          <w:sz w:val="22"/>
          <w:szCs w:val="22"/>
        </w:rPr>
        <w:footnoteReference w:id="39"/>
      </w:r>
    </w:p>
    <w:p w14:paraId="3F4AEF24" w14:textId="22DCDC18" w:rsidR="00C268E5" w:rsidRDefault="00C268E5">
      <w:pPr>
        <w:spacing w:line="276" w:lineRule="auto"/>
        <w:jc w:val="both"/>
        <w:rPr>
          <w:rFonts w:ascii="Arial" w:hAnsi="Arial" w:cs="Arial"/>
          <w:sz w:val="22"/>
          <w:szCs w:val="22"/>
        </w:rPr>
      </w:pPr>
      <w:r w:rsidRPr="006F4B62">
        <w:rPr>
          <w:rFonts w:ascii="Arial" w:hAnsi="Arial" w:cs="Arial"/>
          <w:sz w:val="22"/>
          <w:szCs w:val="22"/>
        </w:rPr>
        <w:t>We have</w:t>
      </w:r>
      <w:r>
        <w:rPr>
          <w:rFonts w:ascii="Arial" w:hAnsi="Arial" w:cs="Arial"/>
          <w:sz w:val="22"/>
          <w:szCs w:val="22"/>
        </w:rPr>
        <w:t xml:space="preserve"> made additional comments about the calculation of the </w:t>
      </w:r>
      <w:r w:rsidR="00407F6D">
        <w:rPr>
          <w:rFonts w:ascii="Arial" w:hAnsi="Arial" w:cs="Arial"/>
          <w:sz w:val="22"/>
          <w:szCs w:val="22"/>
        </w:rPr>
        <w:t>‘</w:t>
      </w:r>
      <w:r>
        <w:rPr>
          <w:rFonts w:ascii="Arial" w:hAnsi="Arial" w:cs="Arial"/>
          <w:sz w:val="22"/>
          <w:szCs w:val="22"/>
        </w:rPr>
        <w:t>base price</w:t>
      </w:r>
      <w:r w:rsidR="00407F6D">
        <w:rPr>
          <w:rFonts w:ascii="Arial" w:hAnsi="Arial" w:cs="Arial"/>
          <w:sz w:val="22"/>
          <w:szCs w:val="22"/>
        </w:rPr>
        <w:t>’</w:t>
      </w:r>
      <w:r>
        <w:rPr>
          <w:rFonts w:ascii="Arial" w:hAnsi="Arial" w:cs="Arial"/>
          <w:sz w:val="22"/>
          <w:szCs w:val="22"/>
        </w:rPr>
        <w:t xml:space="preserve"> below.</w:t>
      </w:r>
    </w:p>
    <w:p w14:paraId="63C0C9D9" w14:textId="4AF6936E" w:rsidR="007C34EE" w:rsidRDefault="007C34EE" w:rsidP="00092F84">
      <w:pPr>
        <w:spacing w:line="276" w:lineRule="auto"/>
        <w:jc w:val="both"/>
        <w:rPr>
          <w:rFonts w:ascii="Arial" w:hAnsi="Arial" w:cs="Arial"/>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346"/>
      </w:tblGrid>
      <w:tr w:rsidR="007C34EE" w14:paraId="0BA01241" w14:textId="77777777" w:rsidTr="007C34EE">
        <w:tc>
          <w:tcPr>
            <w:tcW w:w="9346" w:type="dxa"/>
            <w:shd w:val="clear" w:color="auto" w:fill="D9D9D9" w:themeFill="background1" w:themeFillShade="D9"/>
          </w:tcPr>
          <w:p w14:paraId="0E4E7FA2" w14:textId="77777777" w:rsidR="007C34EE" w:rsidRDefault="007C34EE" w:rsidP="00092F84">
            <w:pPr>
              <w:spacing w:line="276" w:lineRule="auto"/>
              <w:jc w:val="both"/>
              <w:rPr>
                <w:rFonts w:ascii="Arial" w:hAnsi="Arial" w:cs="Arial"/>
                <w:sz w:val="22"/>
                <w:szCs w:val="22"/>
              </w:rPr>
            </w:pPr>
          </w:p>
          <w:p w14:paraId="5BFB0220" w14:textId="53AAFB65" w:rsidR="007C34EE" w:rsidRDefault="007C34EE" w:rsidP="00092F84">
            <w:pPr>
              <w:spacing w:line="276" w:lineRule="auto"/>
              <w:jc w:val="both"/>
              <w:rPr>
                <w:rFonts w:ascii="Arial" w:hAnsi="Arial" w:cs="Arial"/>
                <w:sz w:val="22"/>
                <w:szCs w:val="22"/>
              </w:rPr>
            </w:pPr>
            <w:r>
              <w:rPr>
                <w:rFonts w:ascii="Arial" w:hAnsi="Arial" w:cs="Arial"/>
                <w:b/>
                <w:sz w:val="22"/>
                <w:szCs w:val="22"/>
              </w:rPr>
              <w:t xml:space="preserve">Recommendation </w:t>
            </w:r>
            <w:r w:rsidR="007D42D6">
              <w:rPr>
                <w:rFonts w:ascii="Arial" w:hAnsi="Arial" w:cs="Arial"/>
                <w:b/>
                <w:sz w:val="22"/>
                <w:szCs w:val="22"/>
              </w:rPr>
              <w:t>20:</w:t>
            </w:r>
            <w:r>
              <w:rPr>
                <w:rFonts w:ascii="Arial" w:hAnsi="Arial" w:cs="Arial"/>
                <w:b/>
                <w:sz w:val="22"/>
                <w:szCs w:val="22"/>
              </w:rPr>
              <w:t xml:space="preserve"> </w:t>
            </w:r>
            <w:r>
              <w:rPr>
                <w:rFonts w:ascii="Arial" w:hAnsi="Arial" w:cs="Arial"/>
                <w:sz w:val="22"/>
                <w:szCs w:val="22"/>
              </w:rPr>
              <w:t xml:space="preserve">Require </w:t>
            </w:r>
            <w:r w:rsidR="00092F84">
              <w:rPr>
                <w:rFonts w:ascii="Arial" w:hAnsi="Arial" w:cs="Arial"/>
                <w:sz w:val="22"/>
                <w:szCs w:val="22"/>
              </w:rPr>
              <w:t xml:space="preserve">consumer lease price </w:t>
            </w:r>
            <w:r>
              <w:rPr>
                <w:rFonts w:ascii="Arial" w:hAnsi="Arial" w:cs="Arial"/>
                <w:sz w:val="22"/>
                <w:szCs w:val="22"/>
              </w:rPr>
              <w:t>disclosures in advertisements, particularly where the advertisements feature a weekly repayment amount for a product.</w:t>
            </w:r>
          </w:p>
          <w:p w14:paraId="025F0C95" w14:textId="77777777" w:rsidR="007C34EE" w:rsidRDefault="007C34EE" w:rsidP="00092F84">
            <w:pPr>
              <w:spacing w:line="276" w:lineRule="auto"/>
              <w:jc w:val="both"/>
              <w:rPr>
                <w:rFonts w:ascii="Arial" w:hAnsi="Arial" w:cs="Arial"/>
                <w:sz w:val="22"/>
                <w:szCs w:val="22"/>
              </w:rPr>
            </w:pPr>
          </w:p>
          <w:p w14:paraId="6CEB0EFF" w14:textId="1C2DF169" w:rsidR="00723B2D" w:rsidRPr="00B346D0" w:rsidRDefault="007C34EE" w:rsidP="00092F84">
            <w:pPr>
              <w:spacing w:line="276" w:lineRule="auto"/>
              <w:jc w:val="both"/>
              <w:rPr>
                <w:rFonts w:ascii="Arial" w:hAnsi="Arial" w:cs="Arial"/>
                <w:sz w:val="22"/>
                <w:szCs w:val="22"/>
              </w:rPr>
            </w:pPr>
            <w:r>
              <w:rPr>
                <w:rFonts w:ascii="Arial" w:hAnsi="Arial" w:cs="Arial"/>
                <w:b/>
                <w:sz w:val="22"/>
                <w:szCs w:val="22"/>
              </w:rPr>
              <w:t xml:space="preserve">Recommendation </w:t>
            </w:r>
            <w:r w:rsidR="007D42D6">
              <w:rPr>
                <w:rFonts w:ascii="Arial" w:hAnsi="Arial" w:cs="Arial"/>
                <w:b/>
                <w:sz w:val="22"/>
                <w:szCs w:val="22"/>
              </w:rPr>
              <w:t>21:</w:t>
            </w:r>
            <w:r>
              <w:rPr>
                <w:rFonts w:ascii="Arial" w:hAnsi="Arial" w:cs="Arial"/>
                <w:b/>
                <w:sz w:val="22"/>
                <w:szCs w:val="22"/>
              </w:rPr>
              <w:t xml:space="preserve"> </w:t>
            </w:r>
            <w:r>
              <w:rPr>
                <w:rFonts w:ascii="Arial" w:hAnsi="Arial" w:cs="Arial"/>
                <w:sz w:val="22"/>
                <w:szCs w:val="22"/>
              </w:rPr>
              <w:t xml:space="preserve">Require </w:t>
            </w:r>
            <w:r w:rsidR="00092F84">
              <w:rPr>
                <w:rFonts w:ascii="Arial" w:hAnsi="Arial" w:cs="Arial"/>
                <w:sz w:val="22"/>
                <w:szCs w:val="22"/>
              </w:rPr>
              <w:t>consumer lease price</w:t>
            </w:r>
            <w:r>
              <w:rPr>
                <w:rFonts w:ascii="Arial" w:hAnsi="Arial" w:cs="Arial"/>
                <w:sz w:val="22"/>
                <w:szCs w:val="22"/>
              </w:rPr>
              <w:t xml:space="preserve"> disclosures to be prominent in any credit advertising, </w:t>
            </w:r>
            <w:r w:rsidR="00407F6D">
              <w:rPr>
                <w:rFonts w:ascii="Arial" w:hAnsi="Arial" w:cs="Arial"/>
                <w:sz w:val="22"/>
                <w:szCs w:val="22"/>
              </w:rPr>
              <w:t>similar to</w:t>
            </w:r>
            <w:r>
              <w:rPr>
                <w:rFonts w:ascii="Arial" w:hAnsi="Arial" w:cs="Arial"/>
                <w:sz w:val="22"/>
                <w:szCs w:val="22"/>
              </w:rPr>
              <w:t xml:space="preserve"> the requirements under section 164 of the </w:t>
            </w:r>
            <w:r w:rsidRPr="009D4734">
              <w:rPr>
                <w:rFonts w:ascii="Arial" w:hAnsi="Arial" w:cs="Arial"/>
                <w:i/>
                <w:sz w:val="22"/>
                <w:szCs w:val="22"/>
              </w:rPr>
              <w:t>National Credit Code</w:t>
            </w:r>
            <w:r>
              <w:rPr>
                <w:rFonts w:ascii="Arial" w:hAnsi="Arial" w:cs="Arial"/>
                <w:i/>
                <w:sz w:val="22"/>
                <w:szCs w:val="22"/>
              </w:rPr>
              <w:t>.</w:t>
            </w:r>
          </w:p>
          <w:p w14:paraId="2BEBAEDD" w14:textId="6BD3C38F" w:rsidR="007C34EE" w:rsidRPr="007C34EE" w:rsidRDefault="007C34EE" w:rsidP="00092F84">
            <w:pPr>
              <w:spacing w:line="276" w:lineRule="auto"/>
              <w:jc w:val="both"/>
              <w:rPr>
                <w:rFonts w:ascii="Arial" w:hAnsi="Arial" w:cs="Arial"/>
                <w:b/>
                <w:sz w:val="22"/>
                <w:szCs w:val="22"/>
              </w:rPr>
            </w:pPr>
          </w:p>
        </w:tc>
      </w:tr>
    </w:tbl>
    <w:p w14:paraId="79DBD4A4" w14:textId="7A56348F" w:rsidR="00C268E5" w:rsidRDefault="00C268E5" w:rsidP="00092F84">
      <w:pPr>
        <w:spacing w:line="276" w:lineRule="auto"/>
        <w:jc w:val="both"/>
        <w:rPr>
          <w:rFonts w:ascii="Arial" w:hAnsi="Arial" w:cs="Arial"/>
          <w:sz w:val="22"/>
          <w:szCs w:val="22"/>
        </w:rPr>
      </w:pPr>
    </w:p>
    <w:p w14:paraId="7883FCEA" w14:textId="0C0F87E0" w:rsidR="00C268E5" w:rsidRDefault="00C268E5" w:rsidP="00D821F0">
      <w:pPr>
        <w:keepNext/>
        <w:spacing w:line="276" w:lineRule="auto"/>
        <w:jc w:val="both"/>
        <w:rPr>
          <w:rFonts w:ascii="Arial" w:hAnsi="Arial" w:cs="Arial"/>
          <w:b/>
          <w:sz w:val="22"/>
          <w:szCs w:val="22"/>
        </w:rPr>
      </w:pPr>
      <w:r>
        <w:rPr>
          <w:rFonts w:ascii="Arial" w:hAnsi="Arial" w:cs="Arial"/>
          <w:b/>
          <w:sz w:val="22"/>
          <w:szCs w:val="22"/>
        </w:rPr>
        <w:t>Item 58 – Cap on fees and charges for consumer leases</w:t>
      </w:r>
      <w:r w:rsidR="0011336C">
        <w:rPr>
          <w:rStyle w:val="FootnoteReference"/>
          <w:rFonts w:ascii="Arial" w:hAnsi="Arial" w:cs="Arial"/>
          <w:b/>
          <w:sz w:val="22"/>
          <w:szCs w:val="22"/>
        </w:rPr>
        <w:footnoteReference w:id="40"/>
      </w:r>
    </w:p>
    <w:p w14:paraId="36573662" w14:textId="7B7681C4" w:rsidR="00C268E5" w:rsidRDefault="00C268E5" w:rsidP="00092F84">
      <w:pPr>
        <w:spacing w:line="276" w:lineRule="auto"/>
        <w:jc w:val="both"/>
        <w:rPr>
          <w:rFonts w:ascii="Arial" w:hAnsi="Arial" w:cs="Arial"/>
          <w:b/>
          <w:sz w:val="22"/>
          <w:szCs w:val="22"/>
        </w:rPr>
      </w:pPr>
    </w:p>
    <w:p w14:paraId="31CEDDE2" w14:textId="4D89327E" w:rsidR="006F4B62" w:rsidRDefault="00092F84" w:rsidP="00092F84">
      <w:pPr>
        <w:spacing w:line="276" w:lineRule="auto"/>
        <w:jc w:val="both"/>
        <w:rPr>
          <w:rFonts w:ascii="Arial" w:hAnsi="Arial" w:cs="Arial"/>
          <w:sz w:val="22"/>
          <w:szCs w:val="22"/>
        </w:rPr>
      </w:pPr>
      <w:r>
        <w:rPr>
          <w:rFonts w:ascii="Arial" w:hAnsi="Arial" w:cs="Arial"/>
          <w:sz w:val="22"/>
          <w:szCs w:val="22"/>
        </w:rPr>
        <w:t xml:space="preserve">The Bill introduces a cap on costs for all consumer leases, which is calculated on the base price of the goods plus 4% per month for a maximum of 48 months. We strongly support this reform, </w:t>
      </w:r>
      <w:r w:rsidR="006F4B62">
        <w:rPr>
          <w:rFonts w:ascii="Arial" w:hAnsi="Arial" w:cs="Arial"/>
          <w:sz w:val="22"/>
          <w:szCs w:val="22"/>
        </w:rPr>
        <w:t xml:space="preserve">but note that the proposed cap amount is a compromise position for consumer advocates. We would have preferred the cap to align with the 48% annual cost rate cap that applies to </w:t>
      </w:r>
      <w:r w:rsidR="00694F0A">
        <w:rPr>
          <w:rFonts w:ascii="Arial" w:hAnsi="Arial" w:cs="Arial"/>
          <w:sz w:val="22"/>
          <w:szCs w:val="22"/>
        </w:rPr>
        <w:t>goods leases regarded as s</w:t>
      </w:r>
      <w:r w:rsidR="006F4B62">
        <w:rPr>
          <w:rFonts w:ascii="Arial" w:hAnsi="Arial" w:cs="Arial"/>
          <w:sz w:val="22"/>
          <w:szCs w:val="22"/>
        </w:rPr>
        <w:t xml:space="preserve">ale by instalments. We would strongly oppose any higher cap on costs, as a higher cap would almost certainly entrench ongoing financial exclusion and regulatory arbitrage. The cost cap in the Bill </w:t>
      </w:r>
      <w:r>
        <w:rPr>
          <w:rFonts w:ascii="Arial" w:hAnsi="Arial" w:cs="Arial"/>
          <w:sz w:val="22"/>
          <w:szCs w:val="22"/>
        </w:rPr>
        <w:t xml:space="preserve">is </w:t>
      </w:r>
      <w:r w:rsidR="001C72C8">
        <w:rPr>
          <w:rFonts w:ascii="Arial" w:hAnsi="Arial" w:cs="Arial"/>
          <w:sz w:val="22"/>
          <w:szCs w:val="22"/>
        </w:rPr>
        <w:t>crucial</w:t>
      </w:r>
      <w:r>
        <w:rPr>
          <w:rFonts w:ascii="Arial" w:hAnsi="Arial" w:cs="Arial"/>
          <w:sz w:val="22"/>
          <w:szCs w:val="22"/>
        </w:rPr>
        <w:t xml:space="preserve"> to protect consumers from extortionate pricing by consumer lease providers. </w:t>
      </w:r>
    </w:p>
    <w:p w14:paraId="534AD2E8" w14:textId="77777777" w:rsidR="006F4B62" w:rsidRDefault="006F4B62" w:rsidP="00092F84">
      <w:pPr>
        <w:spacing w:line="276" w:lineRule="auto"/>
        <w:jc w:val="both"/>
        <w:rPr>
          <w:rFonts w:ascii="Arial" w:hAnsi="Arial" w:cs="Arial"/>
          <w:sz w:val="22"/>
          <w:szCs w:val="22"/>
        </w:rPr>
      </w:pPr>
    </w:p>
    <w:p w14:paraId="0C5D3D88" w14:textId="0CE89FE5" w:rsidR="00C268E5" w:rsidRDefault="00092F84" w:rsidP="00092F84">
      <w:pPr>
        <w:spacing w:line="276" w:lineRule="auto"/>
        <w:jc w:val="both"/>
        <w:rPr>
          <w:rFonts w:ascii="Arial" w:hAnsi="Arial" w:cs="Arial"/>
          <w:sz w:val="22"/>
          <w:szCs w:val="22"/>
        </w:rPr>
      </w:pPr>
      <w:r>
        <w:rPr>
          <w:rFonts w:ascii="Arial" w:hAnsi="Arial" w:cs="Arial"/>
          <w:sz w:val="22"/>
          <w:szCs w:val="22"/>
        </w:rPr>
        <w:t>As noted in the Final Report, ASIC has found evidence of some consumer lease providers charging up to equivalent interest rates of 884% for basic household goods.</w:t>
      </w:r>
      <w:r w:rsidR="005C738E">
        <w:rPr>
          <w:rStyle w:val="FootnoteReference"/>
          <w:rFonts w:ascii="Arial" w:hAnsi="Arial" w:cs="Arial"/>
          <w:sz w:val="22"/>
          <w:szCs w:val="22"/>
        </w:rPr>
        <w:footnoteReference w:id="41"/>
      </w:r>
      <w:r>
        <w:rPr>
          <w:rFonts w:ascii="Arial" w:hAnsi="Arial" w:cs="Arial"/>
          <w:sz w:val="22"/>
          <w:szCs w:val="22"/>
        </w:rPr>
        <w:t xml:space="preserve"> This predatory pricing has been allowed to flourish due to the absence of cost caps in this market. </w:t>
      </w:r>
    </w:p>
    <w:p w14:paraId="6212214B" w14:textId="26D9C25F" w:rsidR="00092F84" w:rsidRDefault="00092F84" w:rsidP="00092F84">
      <w:pPr>
        <w:spacing w:line="276" w:lineRule="auto"/>
        <w:jc w:val="both"/>
        <w:rPr>
          <w:rFonts w:ascii="Arial" w:hAnsi="Arial" w:cs="Arial"/>
          <w:sz w:val="22"/>
          <w:szCs w:val="22"/>
        </w:rPr>
      </w:pPr>
    </w:p>
    <w:p w14:paraId="4A8B4137" w14:textId="6B113AB5" w:rsidR="00F27AD4" w:rsidRPr="006D552B" w:rsidRDefault="00684D13" w:rsidP="006D552B">
      <w:pPr>
        <w:spacing w:line="276" w:lineRule="auto"/>
        <w:jc w:val="both"/>
        <w:rPr>
          <w:rFonts w:ascii="Arial" w:hAnsi="Arial" w:cs="Arial"/>
          <w:sz w:val="22"/>
          <w:szCs w:val="22"/>
        </w:rPr>
      </w:pPr>
      <w:r>
        <w:rPr>
          <w:rFonts w:ascii="Arial" w:hAnsi="Arial" w:cs="Arial"/>
          <w:sz w:val="22"/>
          <w:szCs w:val="22"/>
        </w:rPr>
        <w:t xml:space="preserve">However, we </w:t>
      </w:r>
      <w:r w:rsidR="00F27AD4">
        <w:rPr>
          <w:rFonts w:ascii="Arial" w:hAnsi="Arial" w:cs="Arial"/>
          <w:sz w:val="22"/>
          <w:szCs w:val="22"/>
        </w:rPr>
        <w:t xml:space="preserve">consider the complex </w:t>
      </w:r>
      <w:r>
        <w:rPr>
          <w:rFonts w:ascii="Arial" w:hAnsi="Arial" w:cs="Arial"/>
          <w:sz w:val="22"/>
          <w:szCs w:val="22"/>
        </w:rPr>
        <w:t xml:space="preserve">calculation of the ‘base price’ </w:t>
      </w:r>
      <w:r w:rsidR="00F27AD4">
        <w:rPr>
          <w:rFonts w:ascii="Arial" w:hAnsi="Arial" w:cs="Arial"/>
          <w:sz w:val="22"/>
          <w:szCs w:val="22"/>
        </w:rPr>
        <w:t>is</w:t>
      </w:r>
      <w:r>
        <w:rPr>
          <w:rFonts w:ascii="Arial" w:hAnsi="Arial" w:cs="Arial"/>
          <w:sz w:val="22"/>
          <w:szCs w:val="22"/>
        </w:rPr>
        <w:t xml:space="preserve"> unnecessary. The concept of a ‘cash price’ for consumer leases already exists in the </w:t>
      </w:r>
      <w:r>
        <w:rPr>
          <w:rFonts w:ascii="Arial" w:hAnsi="Arial" w:cs="Arial"/>
          <w:i/>
          <w:sz w:val="22"/>
          <w:szCs w:val="22"/>
        </w:rPr>
        <w:t xml:space="preserve">National Credit Code, </w:t>
      </w:r>
      <w:r>
        <w:rPr>
          <w:rFonts w:ascii="Arial" w:hAnsi="Arial" w:cs="Arial"/>
          <w:sz w:val="22"/>
          <w:szCs w:val="22"/>
        </w:rPr>
        <w:t xml:space="preserve">which we consider </w:t>
      </w:r>
      <w:r w:rsidRPr="006D552B">
        <w:rPr>
          <w:rFonts w:ascii="Arial" w:hAnsi="Arial" w:cs="Arial"/>
          <w:sz w:val="22"/>
          <w:szCs w:val="22"/>
        </w:rPr>
        <w:t xml:space="preserve">would be a more appropriate basis for </w:t>
      </w:r>
      <w:r w:rsidR="00EB024A">
        <w:rPr>
          <w:rFonts w:ascii="Arial" w:hAnsi="Arial" w:cs="Arial"/>
          <w:sz w:val="22"/>
          <w:szCs w:val="22"/>
        </w:rPr>
        <w:t xml:space="preserve">the </w:t>
      </w:r>
      <w:r w:rsidRPr="006D552B">
        <w:rPr>
          <w:rFonts w:ascii="Arial" w:hAnsi="Arial" w:cs="Arial"/>
          <w:sz w:val="22"/>
          <w:szCs w:val="22"/>
        </w:rPr>
        <w:t>cost cap</w:t>
      </w:r>
      <w:r w:rsidR="00EB024A">
        <w:rPr>
          <w:rFonts w:ascii="Arial" w:hAnsi="Arial" w:cs="Arial"/>
          <w:sz w:val="22"/>
          <w:szCs w:val="22"/>
        </w:rPr>
        <w:t xml:space="preserve"> calculation</w:t>
      </w:r>
      <w:r w:rsidRPr="006D552B">
        <w:rPr>
          <w:rFonts w:ascii="Arial" w:hAnsi="Arial" w:cs="Arial"/>
          <w:sz w:val="22"/>
          <w:szCs w:val="22"/>
        </w:rPr>
        <w:t>.</w:t>
      </w:r>
      <w:r w:rsidR="00DD56B1" w:rsidRPr="00DD56B1">
        <w:rPr>
          <w:rStyle w:val="FootnoteReference"/>
          <w:rFonts w:ascii="Arial" w:hAnsi="Arial" w:cs="Arial"/>
          <w:sz w:val="22"/>
          <w:szCs w:val="22"/>
        </w:rPr>
        <w:t xml:space="preserve"> </w:t>
      </w:r>
      <w:r w:rsidR="00DD56B1" w:rsidRPr="006D552B">
        <w:rPr>
          <w:rStyle w:val="FootnoteReference"/>
          <w:rFonts w:ascii="Arial" w:hAnsi="Arial" w:cs="Arial"/>
          <w:sz w:val="22"/>
          <w:szCs w:val="22"/>
        </w:rPr>
        <w:footnoteReference w:id="42"/>
      </w:r>
      <w:r w:rsidRPr="006D552B">
        <w:rPr>
          <w:rFonts w:ascii="Arial" w:hAnsi="Arial" w:cs="Arial"/>
          <w:sz w:val="22"/>
          <w:szCs w:val="22"/>
        </w:rPr>
        <w:t xml:space="preserve"> </w:t>
      </w:r>
      <w:r w:rsidR="005C738E">
        <w:rPr>
          <w:rFonts w:ascii="Arial" w:hAnsi="Arial" w:cs="Arial"/>
          <w:sz w:val="22"/>
          <w:szCs w:val="22"/>
        </w:rPr>
        <w:t>There are significant risks that the concept of ‘recommended retail price’ would also be manipulated, particularly by consumer lease providers that manufacture their own goods.</w:t>
      </w:r>
    </w:p>
    <w:p w14:paraId="375BEB27" w14:textId="4D6B4EE0" w:rsidR="00F27AD4" w:rsidRPr="006D552B" w:rsidRDefault="00F27AD4" w:rsidP="006D552B">
      <w:pPr>
        <w:pStyle w:val="definition"/>
        <w:spacing w:after="0" w:afterAutospacing="0" w:line="276" w:lineRule="auto"/>
        <w:jc w:val="both"/>
        <w:rPr>
          <w:rFonts w:ascii="Arial" w:hAnsi="Arial" w:cs="Arial"/>
          <w:sz w:val="22"/>
          <w:szCs w:val="22"/>
        </w:rPr>
      </w:pPr>
      <w:r w:rsidRPr="006D552B">
        <w:rPr>
          <w:rFonts w:ascii="Arial" w:hAnsi="Arial" w:cs="Arial"/>
          <w:sz w:val="22"/>
          <w:szCs w:val="22"/>
        </w:rPr>
        <w:t xml:space="preserve">Section 204 of the </w:t>
      </w:r>
      <w:r w:rsidRPr="006D552B">
        <w:rPr>
          <w:rFonts w:ascii="Arial" w:hAnsi="Arial" w:cs="Arial"/>
          <w:i/>
          <w:sz w:val="22"/>
          <w:szCs w:val="22"/>
        </w:rPr>
        <w:t xml:space="preserve">National Credit Code </w:t>
      </w:r>
      <w:r w:rsidRPr="006D552B">
        <w:rPr>
          <w:rFonts w:ascii="Arial" w:hAnsi="Arial" w:cs="Arial"/>
          <w:sz w:val="22"/>
          <w:szCs w:val="22"/>
        </w:rPr>
        <w:t>defines the</w:t>
      </w:r>
      <w:r w:rsidRPr="006D552B">
        <w:rPr>
          <w:rFonts w:ascii="Arial" w:hAnsi="Arial" w:cs="Arial"/>
          <w:i/>
          <w:sz w:val="22"/>
          <w:szCs w:val="22"/>
        </w:rPr>
        <w:t xml:space="preserve"> </w:t>
      </w:r>
      <w:r w:rsidR="001C72C8">
        <w:rPr>
          <w:rFonts w:ascii="Arial" w:hAnsi="Arial" w:cs="Arial"/>
          <w:i/>
          <w:sz w:val="22"/>
          <w:szCs w:val="22"/>
        </w:rPr>
        <w:t>‘</w:t>
      </w:r>
      <w:r w:rsidRPr="006D552B">
        <w:rPr>
          <w:rFonts w:ascii="Arial" w:hAnsi="Arial" w:cs="Arial"/>
          <w:bCs/>
          <w:iCs/>
          <w:sz w:val="22"/>
          <w:szCs w:val="22"/>
          <w:lang w:val="en-AU"/>
        </w:rPr>
        <w:t>cash price</w:t>
      </w:r>
      <w:r w:rsidR="001C72C8">
        <w:rPr>
          <w:rFonts w:ascii="Arial" w:hAnsi="Arial" w:cs="Arial"/>
          <w:bCs/>
          <w:iCs/>
          <w:sz w:val="22"/>
          <w:szCs w:val="22"/>
          <w:lang w:val="en-AU"/>
        </w:rPr>
        <w:t>’</w:t>
      </w:r>
      <w:r w:rsidRPr="006D552B">
        <w:rPr>
          <w:rFonts w:ascii="Arial" w:hAnsi="Arial" w:cs="Arial"/>
          <w:b/>
          <w:bCs/>
          <w:i/>
          <w:iCs/>
          <w:sz w:val="22"/>
          <w:szCs w:val="22"/>
          <w:lang w:val="en-AU"/>
        </w:rPr>
        <w:t xml:space="preserve"> </w:t>
      </w:r>
      <w:r w:rsidRPr="006D552B">
        <w:rPr>
          <w:rFonts w:ascii="Arial" w:hAnsi="Arial" w:cs="Arial"/>
          <w:sz w:val="22"/>
          <w:szCs w:val="22"/>
          <w:lang w:val="en-AU"/>
        </w:rPr>
        <w:t>of goods or services as:</w:t>
      </w:r>
    </w:p>
    <w:p w14:paraId="5C590C0F" w14:textId="6CFEFC63" w:rsidR="00F27AD4" w:rsidRPr="006D552B" w:rsidRDefault="00F27AD4" w:rsidP="006D552B">
      <w:pPr>
        <w:pStyle w:val="paragraph"/>
        <w:numPr>
          <w:ilvl w:val="0"/>
          <w:numId w:val="34"/>
        </w:numPr>
        <w:spacing w:before="0" w:beforeAutospacing="0" w:line="276" w:lineRule="auto"/>
        <w:jc w:val="both"/>
        <w:rPr>
          <w:rFonts w:ascii="Arial" w:hAnsi="Arial" w:cs="Arial"/>
          <w:sz w:val="22"/>
          <w:szCs w:val="22"/>
        </w:rPr>
      </w:pPr>
      <w:r w:rsidRPr="006D552B">
        <w:rPr>
          <w:rFonts w:ascii="Arial" w:hAnsi="Arial" w:cs="Arial"/>
          <w:sz w:val="22"/>
          <w:szCs w:val="22"/>
          <w:lang w:val="en-AU"/>
        </w:rPr>
        <w:t>the lowest price</w:t>
      </w:r>
      <w:r w:rsidR="006D552B">
        <w:rPr>
          <w:rStyle w:val="FootnoteReference"/>
          <w:rFonts w:ascii="Arial" w:hAnsi="Arial" w:cs="Arial"/>
          <w:sz w:val="22"/>
          <w:szCs w:val="22"/>
          <w:lang w:val="en-AU"/>
        </w:rPr>
        <w:footnoteReference w:id="43"/>
      </w:r>
      <w:r w:rsidRPr="006D552B">
        <w:rPr>
          <w:rFonts w:ascii="Arial" w:hAnsi="Arial" w:cs="Arial"/>
          <w:sz w:val="22"/>
          <w:szCs w:val="22"/>
          <w:lang w:val="en-AU"/>
        </w:rPr>
        <w:t xml:space="preserve"> that a cash purchaser might reasonably be expected to pay for them from the supplier; or</w:t>
      </w:r>
    </w:p>
    <w:p w14:paraId="43902318" w14:textId="143895AF" w:rsidR="00F27AD4" w:rsidRPr="006D552B" w:rsidRDefault="00F27AD4" w:rsidP="006D552B">
      <w:pPr>
        <w:pStyle w:val="paragraph"/>
        <w:numPr>
          <w:ilvl w:val="0"/>
          <w:numId w:val="34"/>
        </w:numPr>
        <w:spacing w:line="276" w:lineRule="auto"/>
        <w:jc w:val="both"/>
        <w:rPr>
          <w:rFonts w:ascii="Arial" w:hAnsi="Arial" w:cs="Arial"/>
          <w:sz w:val="22"/>
          <w:szCs w:val="22"/>
        </w:rPr>
      </w:pPr>
      <w:r w:rsidRPr="006D552B">
        <w:rPr>
          <w:rFonts w:ascii="Arial" w:hAnsi="Arial" w:cs="Arial"/>
          <w:sz w:val="22"/>
          <w:szCs w:val="22"/>
          <w:lang w:val="en-AU"/>
        </w:rPr>
        <w:t>if the goods or services are not available for cash from the supplier or are only available for cash at the same, or a reasonably similar, price to the price that would be payable for them if they were sold with credit provided—the market value of the goods or services.</w:t>
      </w:r>
    </w:p>
    <w:p w14:paraId="5F85E3D8" w14:textId="02BA02C0" w:rsidR="00816535" w:rsidRDefault="00816535" w:rsidP="006D552B">
      <w:pPr>
        <w:spacing w:line="276" w:lineRule="auto"/>
        <w:ind w:right="-96"/>
        <w:jc w:val="both"/>
        <w:rPr>
          <w:rFonts w:ascii="Arial" w:hAnsi="Arial" w:cs="Arial"/>
          <w:sz w:val="22"/>
          <w:szCs w:val="22"/>
        </w:rPr>
      </w:pPr>
      <w:r>
        <w:rPr>
          <w:rFonts w:ascii="Arial" w:hAnsi="Arial" w:cs="Arial"/>
          <w:sz w:val="22"/>
          <w:szCs w:val="22"/>
        </w:rPr>
        <w:t>Having separate definitions for ‘base price’ and ‘cash price’, which both apply to consumer lease contracts and relate to the value of leased goods, is unnecessarily complicated and confusing for both consumer lease providers and consumers. There are also logical inconsistencies with the concept of an ‘agreed purchase price’,</w:t>
      </w:r>
      <w:r>
        <w:rPr>
          <w:rStyle w:val="FootnoteReference"/>
          <w:rFonts w:ascii="Arial" w:hAnsi="Arial" w:cs="Arial"/>
          <w:sz w:val="22"/>
          <w:szCs w:val="22"/>
        </w:rPr>
        <w:footnoteReference w:id="44"/>
      </w:r>
      <w:r>
        <w:rPr>
          <w:rFonts w:ascii="Arial" w:hAnsi="Arial" w:cs="Arial"/>
          <w:sz w:val="22"/>
          <w:szCs w:val="22"/>
        </w:rPr>
        <w:t xml:space="preserve"> when a consumer lease contract does not </w:t>
      </w:r>
      <w:r w:rsidR="001C72C8">
        <w:rPr>
          <w:rFonts w:ascii="Arial" w:hAnsi="Arial" w:cs="Arial"/>
          <w:sz w:val="22"/>
          <w:szCs w:val="22"/>
        </w:rPr>
        <w:t>give the consumer</w:t>
      </w:r>
      <w:r>
        <w:rPr>
          <w:rFonts w:ascii="Arial" w:hAnsi="Arial" w:cs="Arial"/>
          <w:sz w:val="22"/>
          <w:szCs w:val="22"/>
        </w:rPr>
        <w:t xml:space="preserve"> the right or obligation to purchase the good. If the consumer </w:t>
      </w:r>
      <w:r w:rsidR="008803EF">
        <w:rPr>
          <w:rFonts w:ascii="Arial" w:hAnsi="Arial" w:cs="Arial"/>
          <w:sz w:val="22"/>
          <w:szCs w:val="22"/>
        </w:rPr>
        <w:t>had the right or obligation to</w:t>
      </w:r>
      <w:r>
        <w:rPr>
          <w:rFonts w:ascii="Arial" w:hAnsi="Arial" w:cs="Arial"/>
          <w:sz w:val="22"/>
          <w:szCs w:val="22"/>
        </w:rPr>
        <w:t xml:space="preserve"> purchase the good, it would be considered a ‘sale by instalments’ and would be regulated as a credit contract.</w:t>
      </w:r>
      <w:r>
        <w:rPr>
          <w:rStyle w:val="FootnoteReference"/>
          <w:rFonts w:ascii="Arial" w:hAnsi="Arial" w:cs="Arial"/>
          <w:sz w:val="22"/>
          <w:szCs w:val="22"/>
        </w:rPr>
        <w:footnoteReference w:id="45"/>
      </w:r>
    </w:p>
    <w:p w14:paraId="2FEC719C" w14:textId="77777777" w:rsidR="00816535" w:rsidRDefault="00816535" w:rsidP="006D552B">
      <w:pPr>
        <w:spacing w:line="276" w:lineRule="auto"/>
        <w:ind w:right="-96"/>
        <w:jc w:val="both"/>
        <w:rPr>
          <w:rFonts w:ascii="Arial" w:hAnsi="Arial" w:cs="Arial"/>
          <w:sz w:val="22"/>
          <w:szCs w:val="22"/>
        </w:rPr>
      </w:pPr>
    </w:p>
    <w:p w14:paraId="17DA1324" w14:textId="319E416B" w:rsidR="00F64F5F" w:rsidRDefault="2156E3F7" w:rsidP="2156E3F7">
      <w:pPr>
        <w:spacing w:line="276" w:lineRule="auto"/>
        <w:ind w:right="-96"/>
        <w:jc w:val="both"/>
        <w:rPr>
          <w:rFonts w:ascii="Arial" w:hAnsi="Arial" w:cs="Arial"/>
          <w:sz w:val="22"/>
          <w:szCs w:val="22"/>
        </w:rPr>
      </w:pPr>
      <w:r w:rsidRPr="2156E3F7">
        <w:rPr>
          <w:rFonts w:ascii="Arial" w:hAnsi="Arial" w:cs="Arial"/>
          <w:sz w:val="22"/>
          <w:szCs w:val="22"/>
        </w:rPr>
        <w:t xml:space="preserve">We recommend the permitted cap be calculated by reference to the </w:t>
      </w:r>
      <w:r w:rsidR="00DD56B1">
        <w:rPr>
          <w:rFonts w:ascii="Arial" w:hAnsi="Arial" w:cs="Arial"/>
          <w:sz w:val="22"/>
          <w:szCs w:val="22"/>
        </w:rPr>
        <w:t>‘</w:t>
      </w:r>
      <w:r w:rsidRPr="2156E3F7">
        <w:rPr>
          <w:rFonts w:ascii="Arial" w:hAnsi="Arial" w:cs="Arial"/>
          <w:sz w:val="22"/>
          <w:szCs w:val="22"/>
        </w:rPr>
        <w:t>cash price</w:t>
      </w:r>
      <w:r w:rsidR="00DD56B1">
        <w:rPr>
          <w:rFonts w:ascii="Arial" w:hAnsi="Arial" w:cs="Arial"/>
          <w:sz w:val="22"/>
          <w:szCs w:val="22"/>
        </w:rPr>
        <w:t>’</w:t>
      </w:r>
      <w:r w:rsidRPr="2156E3F7">
        <w:rPr>
          <w:rFonts w:ascii="Arial" w:hAnsi="Arial" w:cs="Arial"/>
          <w:sz w:val="22"/>
          <w:szCs w:val="22"/>
        </w:rPr>
        <w:t xml:space="preserve"> of the goods. This definition could apply to both new and used goods, as it does currently. We believe the cash price calculation would more accurately reflect the market value of leased goods, particularly second-hand goods. </w:t>
      </w:r>
    </w:p>
    <w:p w14:paraId="0C366FDF" w14:textId="5502ABD6" w:rsidR="00816535" w:rsidRDefault="00816535" w:rsidP="2156E3F7">
      <w:pPr>
        <w:spacing w:line="276" w:lineRule="auto"/>
        <w:ind w:right="-96"/>
        <w:jc w:val="both"/>
        <w:rPr>
          <w:rFonts w:ascii="Arial" w:hAnsi="Arial" w:cs="Arial"/>
          <w:sz w:val="22"/>
          <w:szCs w:val="22"/>
        </w:rPr>
      </w:pPr>
    </w:p>
    <w:p w14:paraId="22E95CD0" w14:textId="2F566130" w:rsidR="00B16D4E" w:rsidRDefault="2156E3F7" w:rsidP="2156E3F7">
      <w:pPr>
        <w:spacing w:line="276" w:lineRule="auto"/>
        <w:jc w:val="both"/>
        <w:rPr>
          <w:rFonts w:ascii="Arial" w:eastAsia="Arial" w:hAnsi="Arial" w:cs="Arial"/>
          <w:color w:val="000000" w:themeColor="text1"/>
          <w:sz w:val="22"/>
          <w:szCs w:val="22"/>
        </w:rPr>
      </w:pPr>
      <w:r w:rsidRPr="2156E3F7">
        <w:rPr>
          <w:rFonts w:ascii="Arial" w:hAnsi="Arial" w:cs="Arial"/>
          <w:sz w:val="22"/>
          <w:szCs w:val="22"/>
        </w:rPr>
        <w:t>In relation to second-hand goods, we are concerned that the proposed base price calculation in section 58 has artificially capped depreciation at a maximum of 30%. This is an unfair outcome for consumers as the market value of second-hand goods is likely to be much less than this. This unfairness is exacerbated by the fact consumers would be charged 4% of this inflated base price per month in fees.  A</w:t>
      </w:r>
      <w:r w:rsidRPr="2156E3F7">
        <w:rPr>
          <w:rFonts w:ascii="Arial" w:eastAsia="Arial" w:hAnsi="Arial" w:cs="Arial"/>
          <w:color w:val="000000" w:themeColor="text1"/>
          <w:sz w:val="22"/>
          <w:szCs w:val="22"/>
        </w:rPr>
        <w:t xml:space="preserve">t a minimum, second-hand goods should be depreciated in accordance with Australian Tax Office depreciation rates, which would be a more accurate reflection of the actual value of the goods. </w:t>
      </w:r>
      <w:r w:rsidR="00936F35">
        <w:rPr>
          <w:rFonts w:ascii="Arial" w:eastAsia="Arial" w:hAnsi="Arial" w:cs="Arial"/>
          <w:color w:val="000000" w:themeColor="text1"/>
          <w:sz w:val="22"/>
          <w:szCs w:val="22"/>
        </w:rPr>
        <w:t xml:space="preserve">Alternatively, </w:t>
      </w:r>
      <w:r w:rsidR="00B16D4E">
        <w:rPr>
          <w:rFonts w:ascii="Arial" w:eastAsia="Arial" w:hAnsi="Arial" w:cs="Arial"/>
          <w:color w:val="000000" w:themeColor="text1"/>
          <w:sz w:val="22"/>
          <w:szCs w:val="22"/>
        </w:rPr>
        <w:t>a much more realistic depreciation formula should be included in the legislation—it is patently unfair for a refrigerator valued new at $1,500 to be given a base price of over $1,000 five or seven years after manufacture. Its true value would be far lower than this and people who have limited capacity to purchase new items should not be forced to pay such extortionate amounts.</w:t>
      </w:r>
    </w:p>
    <w:p w14:paraId="63E2DB62" w14:textId="77777777" w:rsidR="00B16D4E" w:rsidRDefault="00B16D4E" w:rsidP="2156E3F7">
      <w:pPr>
        <w:spacing w:line="276" w:lineRule="auto"/>
        <w:jc w:val="both"/>
        <w:rPr>
          <w:rFonts w:ascii="Arial" w:eastAsia="Arial" w:hAnsi="Arial" w:cs="Arial"/>
          <w:color w:val="000000" w:themeColor="text1"/>
          <w:sz w:val="22"/>
          <w:szCs w:val="22"/>
        </w:rPr>
      </w:pPr>
    </w:p>
    <w:p w14:paraId="4585C08C" w14:textId="2362E11E" w:rsidR="00816535" w:rsidRDefault="00B16D4E" w:rsidP="2156E3F7">
      <w:pPr>
        <w:spacing w:line="276" w:lineRule="auto"/>
        <w:jc w:val="both"/>
        <w:rPr>
          <w:rFonts w:ascii="Arial" w:eastAsia="Arial" w:hAnsi="Arial" w:cs="Arial"/>
          <w:color w:val="000000" w:themeColor="text1"/>
          <w:sz w:val="22"/>
          <w:szCs w:val="22"/>
        </w:rPr>
      </w:pPr>
      <w:r>
        <w:rPr>
          <w:rFonts w:ascii="Arial" w:eastAsia="Arial" w:hAnsi="Arial" w:cs="Arial"/>
          <w:color w:val="000000" w:themeColor="text1"/>
          <w:sz w:val="22"/>
          <w:szCs w:val="22"/>
        </w:rPr>
        <w:t>It will be important, also, for goods (second-hand or not) to be appropriately described in contractual documents so that the ‘base price’ can be easily challenged. Too often contracts are described without specificity, for example, ’30 inch TV’ or ‘5 seater lounge’. While item 55 above requires disclosure of the base price, this must be twinned with a requirement to adequately disclose the goods in the contractual document</w:t>
      </w:r>
      <w:r w:rsidR="00694F0A">
        <w:rPr>
          <w:rFonts w:ascii="Arial" w:eastAsia="Arial" w:hAnsi="Arial" w:cs="Arial"/>
          <w:color w:val="000000" w:themeColor="text1"/>
          <w:sz w:val="22"/>
          <w:szCs w:val="22"/>
        </w:rPr>
        <w:t>. At a minimum, the consumer lease provider should identify the make and model of the good, and whether it is new or used</w:t>
      </w:r>
      <w:r>
        <w:rPr>
          <w:rFonts w:ascii="Arial" w:eastAsia="Arial" w:hAnsi="Arial" w:cs="Arial"/>
          <w:color w:val="000000" w:themeColor="text1"/>
          <w:sz w:val="22"/>
          <w:szCs w:val="22"/>
        </w:rPr>
        <w:t>. This will aid dispute resolution. We note that this might be achieved thro</w:t>
      </w:r>
      <w:r w:rsidR="00B84E35">
        <w:rPr>
          <w:rFonts w:ascii="Arial" w:eastAsia="Arial" w:hAnsi="Arial" w:cs="Arial"/>
          <w:color w:val="000000" w:themeColor="text1"/>
          <w:sz w:val="22"/>
          <w:szCs w:val="22"/>
        </w:rPr>
        <w:t xml:space="preserve">ugh an </w:t>
      </w:r>
      <w:r>
        <w:rPr>
          <w:rFonts w:ascii="Arial" w:eastAsia="Arial" w:hAnsi="Arial" w:cs="Arial"/>
          <w:color w:val="000000" w:themeColor="text1"/>
          <w:sz w:val="22"/>
          <w:szCs w:val="22"/>
        </w:rPr>
        <w:t xml:space="preserve">ASIC legislative instrument </w:t>
      </w:r>
      <w:r w:rsidR="00B84E35">
        <w:rPr>
          <w:rFonts w:ascii="Arial" w:eastAsia="Arial" w:hAnsi="Arial" w:cs="Arial"/>
          <w:color w:val="000000" w:themeColor="text1"/>
          <w:sz w:val="22"/>
          <w:szCs w:val="22"/>
        </w:rPr>
        <w:t xml:space="preserve">made under proposed section 174(1B) of the </w:t>
      </w:r>
      <w:r w:rsidR="00B40AF1" w:rsidRPr="00B346D0">
        <w:rPr>
          <w:rFonts w:ascii="Arial" w:eastAsia="Arial" w:hAnsi="Arial" w:cs="Arial"/>
          <w:i/>
          <w:color w:val="000000" w:themeColor="text1"/>
          <w:sz w:val="22"/>
          <w:szCs w:val="22"/>
        </w:rPr>
        <w:t>National Credit Code</w:t>
      </w:r>
      <w:r w:rsidR="00B84E35">
        <w:rPr>
          <w:rFonts w:ascii="Arial" w:eastAsia="Arial" w:hAnsi="Arial" w:cs="Arial"/>
          <w:color w:val="000000" w:themeColor="text1"/>
          <w:sz w:val="22"/>
          <w:szCs w:val="22"/>
        </w:rPr>
        <w:t>.</w:t>
      </w:r>
      <w:r>
        <w:rPr>
          <w:rFonts w:ascii="Arial" w:eastAsia="Arial" w:hAnsi="Arial" w:cs="Arial"/>
          <w:color w:val="000000" w:themeColor="text1"/>
          <w:sz w:val="22"/>
          <w:szCs w:val="22"/>
        </w:rPr>
        <w:t xml:space="preserve">  </w:t>
      </w:r>
    </w:p>
    <w:p w14:paraId="3029F372" w14:textId="385088FF" w:rsidR="2156E3F7" w:rsidRDefault="2156E3F7" w:rsidP="2156E3F7">
      <w:pPr>
        <w:jc w:val="both"/>
        <w:rPr>
          <w:rFonts w:ascii="Arial" w:eastAsia="Arial" w:hAnsi="Arial" w:cs="Arial"/>
          <w:color w:val="000000" w:themeColor="text1"/>
          <w:sz w:val="22"/>
          <w:szCs w:val="22"/>
        </w:rPr>
      </w:pPr>
    </w:p>
    <w:p w14:paraId="53B2FBC9" w14:textId="3C096424" w:rsidR="00816535" w:rsidRDefault="008743DC" w:rsidP="006D552B">
      <w:pPr>
        <w:spacing w:line="276" w:lineRule="auto"/>
        <w:ind w:right="-96"/>
        <w:jc w:val="both"/>
        <w:rPr>
          <w:rFonts w:ascii="Arial" w:hAnsi="Arial" w:cs="Arial"/>
          <w:sz w:val="22"/>
          <w:szCs w:val="22"/>
        </w:rPr>
      </w:pPr>
      <w:r>
        <w:rPr>
          <w:rFonts w:ascii="Arial" w:hAnsi="Arial" w:cs="Arial"/>
          <w:sz w:val="22"/>
          <w:szCs w:val="22"/>
        </w:rPr>
        <w:t>Further, we</w:t>
      </w:r>
      <w:r w:rsidR="00816535">
        <w:rPr>
          <w:rFonts w:ascii="Arial" w:hAnsi="Arial" w:cs="Arial"/>
          <w:sz w:val="22"/>
          <w:szCs w:val="22"/>
        </w:rPr>
        <w:t xml:space="preserve"> are concerned that excluding reasonable delivery fees from the cost cap is providing an opportunity for consumer lease providers to engage in avoidance activities, and is inconsistent with the approach taken to ‘permitted installation fees’. We therefore recommend that ASIC be empowered to make legislative instruments regarding ‘permitted delivery fees’.</w:t>
      </w:r>
      <w:r w:rsidR="004F6791">
        <w:rPr>
          <w:rFonts w:ascii="Arial" w:hAnsi="Arial" w:cs="Arial"/>
          <w:sz w:val="22"/>
          <w:szCs w:val="22"/>
        </w:rPr>
        <w:t xml:space="preserve"> It should also be clarified that ASIC is able to cap delivery and installation fees by legislative instrument.</w:t>
      </w:r>
    </w:p>
    <w:p w14:paraId="3626FACF" w14:textId="20667F7E" w:rsidR="008743DC" w:rsidRDefault="008743DC" w:rsidP="006D552B">
      <w:pPr>
        <w:spacing w:line="276" w:lineRule="auto"/>
        <w:ind w:right="-96"/>
        <w:jc w:val="both"/>
        <w:rPr>
          <w:rFonts w:ascii="Arial" w:hAnsi="Arial" w:cs="Arial"/>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346"/>
      </w:tblGrid>
      <w:tr w:rsidR="00816535" w14:paraId="100857A0" w14:textId="77777777" w:rsidTr="008743DC">
        <w:tc>
          <w:tcPr>
            <w:tcW w:w="9346" w:type="dxa"/>
            <w:shd w:val="clear" w:color="auto" w:fill="D9D9D9" w:themeFill="background1" w:themeFillShade="D9"/>
          </w:tcPr>
          <w:p w14:paraId="73323DF0" w14:textId="77777777" w:rsidR="00816535" w:rsidRDefault="00816535" w:rsidP="008743DC">
            <w:pPr>
              <w:rPr>
                <w:rFonts w:ascii="Arial" w:hAnsi="Arial" w:cs="Arial"/>
                <w:sz w:val="22"/>
                <w:szCs w:val="22"/>
              </w:rPr>
            </w:pPr>
          </w:p>
          <w:p w14:paraId="2E382425" w14:textId="758F38D5" w:rsidR="008743DC" w:rsidRDefault="008743DC" w:rsidP="00DD56B1">
            <w:pPr>
              <w:spacing w:line="276" w:lineRule="auto"/>
              <w:ind w:right="27"/>
              <w:rPr>
                <w:rFonts w:ascii="Arial" w:eastAsia="Arial" w:hAnsi="Arial" w:cs="Arial"/>
                <w:color w:val="000000" w:themeColor="text1"/>
                <w:sz w:val="22"/>
                <w:szCs w:val="22"/>
              </w:rPr>
            </w:pPr>
            <w:r w:rsidRPr="008743DC">
              <w:rPr>
                <w:rFonts w:ascii="Arial" w:hAnsi="Arial" w:cs="Arial"/>
                <w:b/>
                <w:sz w:val="22"/>
                <w:szCs w:val="22"/>
              </w:rPr>
              <w:t xml:space="preserve">Recommendation </w:t>
            </w:r>
            <w:r w:rsidR="007D42D6">
              <w:rPr>
                <w:rFonts w:ascii="Arial" w:hAnsi="Arial" w:cs="Arial"/>
                <w:b/>
                <w:sz w:val="22"/>
                <w:szCs w:val="22"/>
              </w:rPr>
              <w:t xml:space="preserve">22: </w:t>
            </w:r>
            <w:r>
              <w:rPr>
                <w:rFonts w:ascii="Arial" w:hAnsi="Arial" w:cs="Arial"/>
                <w:sz w:val="22"/>
                <w:szCs w:val="22"/>
              </w:rPr>
              <w:t xml:space="preserve">The permitted cap be calculated by reference to the cash price of the goods, as defined under section 204 of the </w:t>
            </w:r>
            <w:r w:rsidRPr="008743DC">
              <w:rPr>
                <w:rFonts w:ascii="Arial" w:hAnsi="Arial" w:cs="Arial"/>
                <w:i/>
                <w:sz w:val="22"/>
                <w:szCs w:val="22"/>
              </w:rPr>
              <w:t>National Credit Code</w:t>
            </w:r>
            <w:r>
              <w:rPr>
                <w:rFonts w:ascii="Arial" w:hAnsi="Arial" w:cs="Arial"/>
                <w:sz w:val="22"/>
                <w:szCs w:val="22"/>
              </w:rPr>
              <w:t>.</w:t>
            </w:r>
            <w:r w:rsidR="00DD56B1">
              <w:rPr>
                <w:rFonts w:ascii="Arial" w:hAnsi="Arial" w:cs="Arial"/>
                <w:sz w:val="22"/>
                <w:szCs w:val="22"/>
              </w:rPr>
              <w:t xml:space="preserve"> At a minimum, s</w:t>
            </w:r>
            <w:r w:rsidR="00DD56B1" w:rsidRPr="2156E3F7">
              <w:rPr>
                <w:rFonts w:ascii="Arial" w:eastAsia="Arial" w:hAnsi="Arial" w:cs="Arial"/>
                <w:color w:val="000000" w:themeColor="text1"/>
                <w:sz w:val="22"/>
                <w:szCs w:val="22"/>
              </w:rPr>
              <w:t>econd-hand goods should be depreciated in accordance with Australian Tax Office depreciation rates</w:t>
            </w:r>
            <w:r w:rsidR="00DD56B1">
              <w:rPr>
                <w:rFonts w:ascii="Arial" w:eastAsia="Arial" w:hAnsi="Arial" w:cs="Arial"/>
                <w:color w:val="000000" w:themeColor="text1"/>
                <w:sz w:val="22"/>
                <w:szCs w:val="22"/>
              </w:rPr>
              <w:t>.</w:t>
            </w:r>
          </w:p>
          <w:p w14:paraId="12844BFA" w14:textId="0BC45B61" w:rsidR="00B40AF1" w:rsidRDefault="00B40AF1" w:rsidP="00B40AF1">
            <w:pPr>
              <w:spacing w:line="276" w:lineRule="auto"/>
              <w:ind w:right="27"/>
              <w:rPr>
                <w:rFonts w:ascii="Arial" w:eastAsia="Arial" w:hAnsi="Arial" w:cs="Arial"/>
                <w:color w:val="000000" w:themeColor="text1"/>
                <w:sz w:val="22"/>
                <w:szCs w:val="22"/>
              </w:rPr>
            </w:pPr>
          </w:p>
          <w:p w14:paraId="06F256F5" w14:textId="6BA8E6E0" w:rsidR="00B40AF1" w:rsidRDefault="00B40AF1" w:rsidP="00B40AF1">
            <w:pPr>
              <w:spacing w:line="276" w:lineRule="auto"/>
              <w:ind w:right="27"/>
              <w:rPr>
                <w:rFonts w:ascii="Arial" w:hAnsi="Arial" w:cs="Arial"/>
                <w:sz w:val="22"/>
                <w:szCs w:val="22"/>
              </w:rPr>
            </w:pPr>
            <w:r w:rsidRPr="00B346D0">
              <w:rPr>
                <w:rFonts w:ascii="Arial" w:eastAsia="Arial" w:hAnsi="Arial" w:cs="Arial"/>
                <w:b/>
                <w:color w:val="000000" w:themeColor="text1"/>
                <w:sz w:val="22"/>
                <w:szCs w:val="22"/>
              </w:rPr>
              <w:t>Recommendation 23:</w:t>
            </w:r>
            <w:r>
              <w:rPr>
                <w:rFonts w:ascii="Arial" w:eastAsia="Arial" w:hAnsi="Arial" w:cs="Arial"/>
                <w:color w:val="000000" w:themeColor="text1"/>
                <w:sz w:val="22"/>
                <w:szCs w:val="22"/>
              </w:rPr>
              <w:t xml:space="preserve"> Goods (second-hand or not) to be appropriately described in contractual documents so that the ‘base price’ can be easily verified and challenged.</w:t>
            </w:r>
          </w:p>
          <w:p w14:paraId="7CF2F5FD" w14:textId="3BB0D952" w:rsidR="008743DC" w:rsidRDefault="008743DC" w:rsidP="00DD56B1">
            <w:pPr>
              <w:spacing w:line="276" w:lineRule="auto"/>
              <w:ind w:right="27"/>
              <w:rPr>
                <w:rFonts w:ascii="Arial" w:hAnsi="Arial" w:cs="Arial"/>
                <w:sz w:val="22"/>
                <w:szCs w:val="22"/>
              </w:rPr>
            </w:pPr>
          </w:p>
          <w:p w14:paraId="0A8E02F9" w14:textId="23631178" w:rsidR="008743DC" w:rsidRDefault="008743DC" w:rsidP="00DD56B1">
            <w:pPr>
              <w:spacing w:line="276" w:lineRule="auto"/>
              <w:ind w:right="27"/>
              <w:jc w:val="both"/>
              <w:rPr>
                <w:rFonts w:ascii="Arial" w:hAnsi="Arial" w:cs="Arial"/>
                <w:sz w:val="22"/>
                <w:szCs w:val="22"/>
              </w:rPr>
            </w:pPr>
            <w:r w:rsidRPr="008743DC">
              <w:rPr>
                <w:rFonts w:ascii="Arial" w:hAnsi="Arial" w:cs="Arial"/>
                <w:b/>
                <w:sz w:val="22"/>
                <w:szCs w:val="22"/>
              </w:rPr>
              <w:t xml:space="preserve">Recommendation </w:t>
            </w:r>
            <w:r w:rsidR="00B40AF1">
              <w:rPr>
                <w:rFonts w:ascii="Arial" w:hAnsi="Arial" w:cs="Arial"/>
                <w:b/>
                <w:sz w:val="22"/>
                <w:szCs w:val="22"/>
              </w:rPr>
              <w:t>24</w:t>
            </w:r>
            <w:r w:rsidR="007D42D6">
              <w:rPr>
                <w:rFonts w:ascii="Arial" w:hAnsi="Arial" w:cs="Arial"/>
                <w:b/>
                <w:sz w:val="22"/>
                <w:szCs w:val="22"/>
              </w:rPr>
              <w:t>:</w:t>
            </w:r>
            <w:r>
              <w:rPr>
                <w:rFonts w:ascii="Arial" w:hAnsi="Arial" w:cs="Arial"/>
                <w:sz w:val="22"/>
                <w:szCs w:val="22"/>
              </w:rPr>
              <w:t xml:space="preserve"> ASIC be empowered to make legislative instruments regarding ‘permitted delivery fees’.</w:t>
            </w:r>
            <w:r w:rsidR="004F6791">
              <w:rPr>
                <w:rFonts w:ascii="Arial" w:hAnsi="Arial" w:cs="Arial"/>
                <w:sz w:val="22"/>
                <w:szCs w:val="22"/>
              </w:rPr>
              <w:t xml:space="preserve"> It should also be clarified that ASIC is able to cap delivery and installation fees by legislative instrument.</w:t>
            </w:r>
          </w:p>
          <w:p w14:paraId="3DD0D857" w14:textId="09CD90C9" w:rsidR="008743DC" w:rsidRDefault="008743DC" w:rsidP="008743DC">
            <w:pPr>
              <w:rPr>
                <w:rFonts w:ascii="Arial" w:hAnsi="Arial" w:cs="Arial"/>
                <w:sz w:val="22"/>
                <w:szCs w:val="22"/>
              </w:rPr>
            </w:pPr>
          </w:p>
        </w:tc>
      </w:tr>
    </w:tbl>
    <w:p w14:paraId="5191A489" w14:textId="77777777" w:rsidR="00816535" w:rsidRDefault="00816535" w:rsidP="006D552B">
      <w:pPr>
        <w:spacing w:line="276" w:lineRule="auto"/>
        <w:ind w:right="-96"/>
        <w:jc w:val="both"/>
        <w:rPr>
          <w:rFonts w:ascii="Arial" w:hAnsi="Arial" w:cs="Arial"/>
          <w:sz w:val="22"/>
          <w:szCs w:val="22"/>
        </w:rPr>
      </w:pPr>
    </w:p>
    <w:p w14:paraId="598A1A79" w14:textId="1CEFC0A3" w:rsidR="00F64F5F" w:rsidRDefault="00CE6569" w:rsidP="006D552B">
      <w:pPr>
        <w:spacing w:line="276" w:lineRule="auto"/>
        <w:ind w:right="-96"/>
        <w:jc w:val="both"/>
        <w:rPr>
          <w:rFonts w:ascii="Arial" w:hAnsi="Arial" w:cs="Arial"/>
          <w:b/>
          <w:sz w:val="22"/>
          <w:szCs w:val="22"/>
        </w:rPr>
      </w:pPr>
      <w:r>
        <w:rPr>
          <w:rFonts w:ascii="Arial" w:hAnsi="Arial" w:cs="Arial"/>
          <w:b/>
          <w:sz w:val="22"/>
          <w:szCs w:val="22"/>
        </w:rPr>
        <w:t>Items 62 and 6</w:t>
      </w:r>
      <w:r w:rsidR="0011336C">
        <w:rPr>
          <w:rFonts w:ascii="Arial" w:hAnsi="Arial" w:cs="Arial"/>
          <w:b/>
          <w:sz w:val="22"/>
          <w:szCs w:val="22"/>
        </w:rPr>
        <w:t>6</w:t>
      </w:r>
      <w:r>
        <w:rPr>
          <w:rFonts w:ascii="Arial" w:hAnsi="Arial" w:cs="Arial"/>
          <w:b/>
          <w:sz w:val="22"/>
          <w:szCs w:val="22"/>
        </w:rPr>
        <w:t xml:space="preserve"> – Canvassing of consumer leases at home</w:t>
      </w:r>
      <w:r w:rsidR="0011336C">
        <w:rPr>
          <w:rStyle w:val="FootnoteReference"/>
          <w:rFonts w:ascii="Arial" w:hAnsi="Arial" w:cs="Arial"/>
          <w:b/>
          <w:sz w:val="22"/>
          <w:szCs w:val="22"/>
        </w:rPr>
        <w:footnoteReference w:id="46"/>
      </w:r>
    </w:p>
    <w:p w14:paraId="3375A2C8" w14:textId="14A1F313" w:rsidR="00CE6569" w:rsidRDefault="00CE6569" w:rsidP="006D552B">
      <w:pPr>
        <w:spacing w:line="276" w:lineRule="auto"/>
        <w:ind w:right="-96"/>
        <w:jc w:val="both"/>
        <w:rPr>
          <w:rFonts w:ascii="Arial" w:hAnsi="Arial" w:cs="Arial"/>
          <w:b/>
          <w:sz w:val="22"/>
          <w:szCs w:val="22"/>
        </w:rPr>
      </w:pPr>
    </w:p>
    <w:p w14:paraId="6D40A64A" w14:textId="0368D5E8" w:rsidR="001C314E" w:rsidRPr="00CC6E3E" w:rsidRDefault="00CE6569" w:rsidP="00CC6E3E">
      <w:pPr>
        <w:spacing w:line="276" w:lineRule="auto"/>
        <w:ind w:right="-96"/>
        <w:jc w:val="both"/>
        <w:rPr>
          <w:rFonts w:ascii="Arial" w:hAnsi="Arial" w:cs="Arial"/>
          <w:sz w:val="22"/>
          <w:szCs w:val="22"/>
        </w:rPr>
      </w:pPr>
      <w:r>
        <w:rPr>
          <w:rFonts w:ascii="Arial" w:hAnsi="Arial" w:cs="Arial"/>
          <w:sz w:val="22"/>
          <w:szCs w:val="22"/>
        </w:rPr>
        <w:t xml:space="preserve">Item 62 would prohibit door-to-door selling of consumer leases for household goods. However, the </w:t>
      </w:r>
      <w:r w:rsidRPr="00CC6E3E">
        <w:rPr>
          <w:rFonts w:ascii="Arial" w:hAnsi="Arial" w:cs="Arial"/>
          <w:sz w:val="22"/>
          <w:szCs w:val="22"/>
        </w:rPr>
        <w:t xml:space="preserve">prohibition would not apply if ‘there is a prior arrangement with a person who resides at the property.’ This is a significant loophole that </w:t>
      </w:r>
      <w:r w:rsidR="00CC6E3E" w:rsidRPr="00CC6E3E">
        <w:rPr>
          <w:rFonts w:ascii="Arial" w:hAnsi="Arial" w:cs="Arial"/>
          <w:sz w:val="22"/>
          <w:szCs w:val="22"/>
        </w:rPr>
        <w:t xml:space="preserve">does not align with the </w:t>
      </w:r>
      <w:r w:rsidR="00DD56B1">
        <w:rPr>
          <w:rFonts w:ascii="Arial" w:hAnsi="Arial" w:cs="Arial"/>
          <w:sz w:val="22"/>
          <w:szCs w:val="22"/>
        </w:rPr>
        <w:t>Review Panel’s</w:t>
      </w:r>
      <w:r w:rsidR="00CC6E3E" w:rsidRPr="00CC6E3E">
        <w:rPr>
          <w:rFonts w:ascii="Arial" w:hAnsi="Arial" w:cs="Arial"/>
          <w:sz w:val="22"/>
          <w:szCs w:val="22"/>
        </w:rPr>
        <w:t xml:space="preserve"> recommendations or the Government’s response. It also </w:t>
      </w:r>
      <w:r w:rsidRPr="00CC6E3E">
        <w:rPr>
          <w:rFonts w:ascii="Arial" w:hAnsi="Arial" w:cs="Arial"/>
          <w:sz w:val="22"/>
          <w:szCs w:val="22"/>
        </w:rPr>
        <w:t>allows considerable scope for consumer lease providers to circumvent the reforms.</w:t>
      </w:r>
      <w:r w:rsidR="001C314E" w:rsidRPr="00CC6E3E">
        <w:rPr>
          <w:rFonts w:ascii="Arial" w:hAnsi="Arial" w:cs="Arial"/>
          <w:sz w:val="22"/>
          <w:szCs w:val="22"/>
        </w:rPr>
        <w:t xml:space="preserve"> </w:t>
      </w:r>
    </w:p>
    <w:p w14:paraId="6CE3D504" w14:textId="3D2A56DC" w:rsidR="001C314E" w:rsidRPr="00CC6E3E" w:rsidRDefault="001C314E" w:rsidP="00CC6E3E">
      <w:pPr>
        <w:spacing w:line="276" w:lineRule="auto"/>
        <w:ind w:right="-96"/>
        <w:jc w:val="both"/>
        <w:rPr>
          <w:rFonts w:ascii="Arial" w:hAnsi="Arial" w:cs="Arial"/>
          <w:sz w:val="22"/>
          <w:szCs w:val="22"/>
        </w:rPr>
      </w:pPr>
    </w:p>
    <w:p w14:paraId="78A6DEBE" w14:textId="2476B26B" w:rsidR="001C314E" w:rsidRPr="00CC6E3E" w:rsidRDefault="00CC6E3E" w:rsidP="00CC6E3E">
      <w:pPr>
        <w:spacing w:line="276" w:lineRule="auto"/>
        <w:ind w:right="-96"/>
        <w:jc w:val="both"/>
        <w:rPr>
          <w:rFonts w:ascii="Arial" w:hAnsi="Arial" w:cs="Arial"/>
          <w:sz w:val="22"/>
          <w:szCs w:val="22"/>
        </w:rPr>
      </w:pPr>
      <w:r w:rsidRPr="00CC6E3E">
        <w:rPr>
          <w:rFonts w:ascii="Arial" w:hAnsi="Arial" w:cs="Arial"/>
          <w:sz w:val="22"/>
          <w:szCs w:val="22"/>
        </w:rPr>
        <w:t>Lessons can be learned from the experience of regulating door-to-door sales under the Australian Consumer Law</w:t>
      </w:r>
      <w:r w:rsidR="001C314E" w:rsidRPr="00CC6E3E">
        <w:rPr>
          <w:rFonts w:ascii="Arial" w:hAnsi="Arial" w:cs="Arial"/>
          <w:sz w:val="22"/>
          <w:szCs w:val="22"/>
        </w:rPr>
        <w:t>.</w:t>
      </w:r>
      <w:r w:rsidRPr="00CC6E3E">
        <w:rPr>
          <w:rStyle w:val="FootnoteReference"/>
          <w:rFonts w:ascii="Arial" w:hAnsi="Arial" w:cs="Arial"/>
          <w:sz w:val="22"/>
          <w:szCs w:val="22"/>
        </w:rPr>
        <w:footnoteReference w:id="47"/>
      </w:r>
      <w:r w:rsidR="001C314E" w:rsidRPr="00CC6E3E">
        <w:rPr>
          <w:rFonts w:ascii="Arial" w:hAnsi="Arial" w:cs="Arial"/>
          <w:sz w:val="22"/>
          <w:szCs w:val="22"/>
        </w:rPr>
        <w:t xml:space="preserve"> Amendments were ultimately </w:t>
      </w:r>
      <w:r w:rsidRPr="00CC6E3E">
        <w:rPr>
          <w:rFonts w:ascii="Arial" w:hAnsi="Arial" w:cs="Arial"/>
          <w:sz w:val="22"/>
          <w:szCs w:val="22"/>
        </w:rPr>
        <w:t>made</w:t>
      </w:r>
      <w:r w:rsidR="001C314E" w:rsidRPr="00CC6E3E">
        <w:rPr>
          <w:rFonts w:ascii="Arial" w:hAnsi="Arial" w:cs="Arial"/>
          <w:sz w:val="22"/>
          <w:szCs w:val="22"/>
        </w:rPr>
        <w:t xml:space="preserve"> to the definition of ‘unsolicited consumer agreement’ due to businesses obtaining ‘invitations’ through surreptitious means</w:t>
      </w:r>
      <w:r w:rsidRPr="00CC6E3E">
        <w:rPr>
          <w:rFonts w:ascii="Arial" w:hAnsi="Arial" w:cs="Arial"/>
          <w:sz w:val="22"/>
          <w:szCs w:val="22"/>
        </w:rPr>
        <w:t xml:space="preserve"> to avoid the consumer protections relating to unsolicited sales</w:t>
      </w:r>
      <w:r w:rsidR="001C314E" w:rsidRPr="00CC6E3E">
        <w:rPr>
          <w:rFonts w:ascii="Arial" w:hAnsi="Arial" w:cs="Arial"/>
          <w:sz w:val="22"/>
          <w:szCs w:val="22"/>
        </w:rPr>
        <w:t>. Section 69</w:t>
      </w:r>
      <w:r>
        <w:rPr>
          <w:rFonts w:ascii="Arial" w:hAnsi="Arial" w:cs="Arial"/>
          <w:sz w:val="22"/>
          <w:szCs w:val="22"/>
        </w:rPr>
        <w:t>(1A)</w:t>
      </w:r>
      <w:r w:rsidR="001C314E" w:rsidRPr="00CC6E3E">
        <w:rPr>
          <w:rFonts w:ascii="Arial" w:hAnsi="Arial" w:cs="Arial"/>
          <w:sz w:val="22"/>
          <w:szCs w:val="22"/>
        </w:rPr>
        <w:t xml:space="preserve"> of the Australian Consumer Law relevantly provides that a consumer is not taken to have </w:t>
      </w:r>
      <w:r w:rsidR="006F6B32" w:rsidRPr="00CC6E3E">
        <w:rPr>
          <w:rFonts w:ascii="Arial" w:hAnsi="Arial" w:cs="Arial"/>
          <w:sz w:val="22"/>
          <w:szCs w:val="22"/>
        </w:rPr>
        <w:t>‘</w:t>
      </w:r>
      <w:r w:rsidR="001C314E" w:rsidRPr="00CC6E3E">
        <w:rPr>
          <w:rFonts w:ascii="Arial" w:hAnsi="Arial" w:cs="Arial"/>
          <w:sz w:val="22"/>
          <w:szCs w:val="22"/>
        </w:rPr>
        <w:t xml:space="preserve">invited the dealer to come to that place, or to make a telephone call, merely because the consumer has: </w:t>
      </w:r>
    </w:p>
    <w:p w14:paraId="34BC127D" w14:textId="011A4312" w:rsidR="001C314E" w:rsidRPr="00CC6E3E" w:rsidRDefault="001C314E" w:rsidP="00CC6E3E">
      <w:pPr>
        <w:pStyle w:val="paragraph"/>
        <w:numPr>
          <w:ilvl w:val="0"/>
          <w:numId w:val="36"/>
        </w:numPr>
        <w:spacing w:line="276" w:lineRule="auto"/>
        <w:jc w:val="both"/>
        <w:rPr>
          <w:rFonts w:ascii="Arial" w:hAnsi="Arial" w:cs="Arial"/>
          <w:sz w:val="22"/>
          <w:szCs w:val="22"/>
        </w:rPr>
      </w:pPr>
      <w:r w:rsidRPr="00CC6E3E">
        <w:rPr>
          <w:rFonts w:ascii="Arial" w:hAnsi="Arial" w:cs="Arial"/>
          <w:sz w:val="22"/>
          <w:szCs w:val="22"/>
        </w:rPr>
        <w:t xml:space="preserve">given his or her name or contact details other than for the predominant purpose of entering into negotiations relating to the supply of the goods or services; or </w:t>
      </w:r>
    </w:p>
    <w:p w14:paraId="2E1E1BCE" w14:textId="6839B103" w:rsidR="001C314E" w:rsidRPr="00CC6E3E" w:rsidRDefault="001C314E" w:rsidP="00CC6E3E">
      <w:pPr>
        <w:pStyle w:val="paragraph"/>
        <w:numPr>
          <w:ilvl w:val="0"/>
          <w:numId w:val="36"/>
        </w:numPr>
        <w:spacing w:line="276" w:lineRule="auto"/>
        <w:jc w:val="both"/>
        <w:rPr>
          <w:rFonts w:ascii="Arial" w:hAnsi="Arial" w:cs="Arial"/>
          <w:sz w:val="22"/>
          <w:szCs w:val="22"/>
        </w:rPr>
      </w:pPr>
      <w:r w:rsidRPr="00CC6E3E">
        <w:rPr>
          <w:rFonts w:ascii="Arial" w:hAnsi="Arial" w:cs="Arial"/>
          <w:sz w:val="22"/>
          <w:szCs w:val="22"/>
        </w:rPr>
        <w:t>contacted the dealer in connection with an unsuccessful attempt by the dealer to contact the consumer.</w:t>
      </w:r>
      <w:r w:rsidR="00CC6E3E" w:rsidRPr="00CC6E3E">
        <w:rPr>
          <w:rFonts w:ascii="Arial" w:hAnsi="Arial" w:cs="Arial"/>
          <w:sz w:val="22"/>
          <w:szCs w:val="22"/>
        </w:rPr>
        <w:t>’</w:t>
      </w:r>
      <w:r w:rsidRPr="00CC6E3E">
        <w:rPr>
          <w:rFonts w:ascii="Arial" w:hAnsi="Arial" w:cs="Arial"/>
          <w:sz w:val="22"/>
          <w:szCs w:val="22"/>
        </w:rPr>
        <w:t xml:space="preserve"> </w:t>
      </w:r>
    </w:p>
    <w:p w14:paraId="2E6D2CD5" w14:textId="030489A5" w:rsidR="00CC6E3E" w:rsidRPr="00CC6E3E" w:rsidRDefault="006F6B32" w:rsidP="00CC6E3E">
      <w:pPr>
        <w:spacing w:line="276" w:lineRule="auto"/>
        <w:jc w:val="both"/>
        <w:rPr>
          <w:rFonts w:ascii="Arial" w:hAnsi="Arial" w:cs="Arial"/>
          <w:sz w:val="22"/>
          <w:szCs w:val="22"/>
        </w:rPr>
      </w:pPr>
      <w:r w:rsidRPr="00CC6E3E">
        <w:rPr>
          <w:rFonts w:ascii="Arial" w:hAnsi="Arial" w:cs="Arial"/>
          <w:sz w:val="22"/>
          <w:szCs w:val="22"/>
        </w:rPr>
        <w:t>The Australian Consumer Law also provides that ‘a</w:t>
      </w:r>
      <w:r w:rsidR="001C314E" w:rsidRPr="00CC6E3E">
        <w:rPr>
          <w:rFonts w:ascii="Arial" w:hAnsi="Arial" w:cs="Arial"/>
          <w:sz w:val="22"/>
          <w:szCs w:val="22"/>
        </w:rPr>
        <w:t xml:space="preserve">n invitation merely to quote a price for a supply is not taken to be an invitation to enter into </w:t>
      </w:r>
      <w:r w:rsidRPr="00CC6E3E">
        <w:rPr>
          <w:rFonts w:ascii="Arial" w:hAnsi="Arial" w:cs="Arial"/>
          <w:sz w:val="22"/>
          <w:szCs w:val="22"/>
        </w:rPr>
        <w:t>negotiations for a supply.’</w:t>
      </w:r>
    </w:p>
    <w:p w14:paraId="56350081" w14:textId="77777777" w:rsidR="00CC6E3E" w:rsidRPr="00CC6E3E" w:rsidRDefault="00CC6E3E" w:rsidP="00CC6E3E">
      <w:pPr>
        <w:spacing w:line="276" w:lineRule="auto"/>
        <w:jc w:val="both"/>
        <w:rPr>
          <w:rFonts w:ascii="Arial" w:hAnsi="Arial" w:cs="Arial"/>
          <w:sz w:val="22"/>
          <w:szCs w:val="22"/>
        </w:rPr>
      </w:pPr>
    </w:p>
    <w:p w14:paraId="15366865" w14:textId="547CC345" w:rsidR="00CC6E3E" w:rsidRPr="00CC6E3E" w:rsidRDefault="00CC6E3E" w:rsidP="00CC6E3E">
      <w:pPr>
        <w:spacing w:line="276" w:lineRule="auto"/>
        <w:jc w:val="both"/>
        <w:rPr>
          <w:rFonts w:ascii="Arial" w:hAnsi="Arial" w:cs="Arial"/>
          <w:sz w:val="22"/>
          <w:szCs w:val="22"/>
        </w:rPr>
      </w:pPr>
      <w:r w:rsidRPr="00CC6E3E">
        <w:rPr>
          <w:rFonts w:ascii="Arial" w:hAnsi="Arial" w:cs="Arial"/>
          <w:sz w:val="22"/>
          <w:szCs w:val="22"/>
        </w:rPr>
        <w:t>Despite these provisions, which are significantly more robust than those proposed in the Bill, the recent Australian Consumer Law Review concluded that ‘pressure selling and consumer detriment occurs in at least some industry sectors’, and that the level of consumer detriment caused by unsolicited selling may require ‘some degree of additional intervention’.</w:t>
      </w:r>
      <w:r w:rsidRPr="00CC6E3E">
        <w:rPr>
          <w:rStyle w:val="FootnoteReference"/>
          <w:rFonts w:ascii="Arial" w:hAnsi="Arial" w:cs="Arial"/>
          <w:sz w:val="22"/>
          <w:szCs w:val="22"/>
        </w:rPr>
        <w:footnoteReference w:id="48"/>
      </w:r>
      <w:r w:rsidRPr="00CC6E3E">
        <w:rPr>
          <w:rFonts w:ascii="Arial" w:hAnsi="Arial" w:cs="Arial"/>
          <w:sz w:val="22"/>
          <w:szCs w:val="22"/>
        </w:rPr>
        <w:t xml:space="preserve"> </w:t>
      </w:r>
    </w:p>
    <w:p w14:paraId="06A81AB5" w14:textId="77777777" w:rsidR="00CC6E3E" w:rsidRPr="00CC6E3E" w:rsidRDefault="00CC6E3E" w:rsidP="00CC6E3E">
      <w:pPr>
        <w:spacing w:line="276" w:lineRule="auto"/>
        <w:jc w:val="both"/>
        <w:rPr>
          <w:rFonts w:ascii="Arial" w:hAnsi="Arial" w:cs="Arial"/>
          <w:sz w:val="22"/>
          <w:szCs w:val="22"/>
        </w:rPr>
      </w:pPr>
    </w:p>
    <w:p w14:paraId="0E83DCB5" w14:textId="4A61AC99" w:rsidR="001C314E" w:rsidRDefault="00CC6E3E" w:rsidP="00CC6E3E">
      <w:pPr>
        <w:spacing w:line="276" w:lineRule="auto"/>
        <w:jc w:val="both"/>
        <w:rPr>
          <w:rFonts w:ascii="Arial" w:hAnsi="Arial" w:cs="Arial"/>
          <w:sz w:val="22"/>
          <w:szCs w:val="22"/>
        </w:rPr>
      </w:pPr>
      <w:r w:rsidRPr="00CC6E3E">
        <w:rPr>
          <w:rFonts w:ascii="Arial" w:hAnsi="Arial" w:cs="Arial"/>
          <w:sz w:val="22"/>
          <w:szCs w:val="22"/>
        </w:rPr>
        <w:t xml:space="preserve">We therefore recommend that Item 62 be amended to remove the words </w:t>
      </w:r>
      <w:r w:rsidR="001C314E" w:rsidRPr="00CC6E3E">
        <w:rPr>
          <w:rFonts w:ascii="Arial" w:hAnsi="Arial" w:cs="Arial"/>
          <w:sz w:val="22"/>
          <w:szCs w:val="22"/>
        </w:rPr>
        <w:t xml:space="preserve">“except by prior arrangement” onwards. In the alternative, </w:t>
      </w:r>
      <w:r w:rsidRPr="00CC6E3E">
        <w:rPr>
          <w:rFonts w:ascii="Arial" w:hAnsi="Arial" w:cs="Arial"/>
          <w:sz w:val="22"/>
          <w:szCs w:val="22"/>
        </w:rPr>
        <w:t xml:space="preserve">we suggest that Item 62 be amended to reflect the wording in section 69(1A) of the Australian Consumer Law. </w:t>
      </w:r>
    </w:p>
    <w:p w14:paraId="0D79D261" w14:textId="4322D59C" w:rsidR="00CE6569" w:rsidRDefault="00CE6569" w:rsidP="00CC6E3E">
      <w:pPr>
        <w:spacing w:line="276" w:lineRule="auto"/>
        <w:ind w:right="-96"/>
        <w:jc w:val="both"/>
        <w:rPr>
          <w:rFonts w:ascii="Arial" w:hAnsi="Arial" w:cs="Arial"/>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9346"/>
      </w:tblGrid>
      <w:tr w:rsidR="00CC6E3E" w14:paraId="57D37E5E" w14:textId="77777777" w:rsidTr="00174E9B">
        <w:tc>
          <w:tcPr>
            <w:tcW w:w="9346" w:type="dxa"/>
            <w:shd w:val="clear" w:color="auto" w:fill="D9D9D9" w:themeFill="background1" w:themeFillShade="D9"/>
          </w:tcPr>
          <w:p w14:paraId="7FF5138E" w14:textId="77777777" w:rsidR="00CC6E3E" w:rsidRDefault="00CC6E3E" w:rsidP="00CC6E3E">
            <w:pPr>
              <w:spacing w:line="276" w:lineRule="auto"/>
              <w:ind w:right="-96"/>
              <w:jc w:val="both"/>
              <w:rPr>
                <w:rFonts w:ascii="Arial" w:hAnsi="Arial" w:cs="Arial"/>
                <w:sz w:val="22"/>
                <w:szCs w:val="22"/>
              </w:rPr>
            </w:pPr>
          </w:p>
          <w:p w14:paraId="6FC32232" w14:textId="2AA1ECB5" w:rsidR="00CC6E3E" w:rsidRDefault="00CC6E3E" w:rsidP="00174E9B">
            <w:pPr>
              <w:spacing w:line="276" w:lineRule="auto"/>
              <w:ind w:right="27"/>
              <w:jc w:val="both"/>
              <w:rPr>
                <w:rFonts w:ascii="Arial" w:hAnsi="Arial" w:cs="Arial"/>
                <w:sz w:val="22"/>
                <w:szCs w:val="22"/>
              </w:rPr>
            </w:pPr>
            <w:r w:rsidRPr="00174E9B">
              <w:rPr>
                <w:rFonts w:ascii="Arial" w:hAnsi="Arial" w:cs="Arial"/>
                <w:b/>
                <w:sz w:val="22"/>
                <w:szCs w:val="22"/>
              </w:rPr>
              <w:t xml:space="preserve">Recommendation </w:t>
            </w:r>
            <w:r w:rsidR="00694F0A">
              <w:rPr>
                <w:rFonts w:ascii="Arial" w:hAnsi="Arial" w:cs="Arial"/>
                <w:b/>
                <w:sz w:val="22"/>
                <w:szCs w:val="22"/>
              </w:rPr>
              <w:t>25</w:t>
            </w:r>
            <w:r w:rsidR="007D42D6">
              <w:rPr>
                <w:rFonts w:ascii="Arial" w:hAnsi="Arial" w:cs="Arial"/>
                <w:b/>
                <w:sz w:val="22"/>
                <w:szCs w:val="22"/>
              </w:rPr>
              <w:t>:</w:t>
            </w:r>
            <w:r>
              <w:rPr>
                <w:rFonts w:ascii="Arial" w:hAnsi="Arial" w:cs="Arial"/>
                <w:sz w:val="22"/>
                <w:szCs w:val="22"/>
              </w:rPr>
              <w:t xml:space="preserve"> </w:t>
            </w:r>
            <w:r w:rsidRPr="00CC6E3E">
              <w:rPr>
                <w:rFonts w:ascii="Arial" w:hAnsi="Arial" w:cs="Arial"/>
                <w:sz w:val="22"/>
                <w:szCs w:val="22"/>
              </w:rPr>
              <w:t>Item 62</w:t>
            </w:r>
            <w:r w:rsidR="00504214">
              <w:rPr>
                <w:rFonts w:ascii="Arial" w:hAnsi="Arial" w:cs="Arial"/>
                <w:sz w:val="22"/>
                <w:szCs w:val="22"/>
              </w:rPr>
              <w:t xml:space="preserve"> (s179VA(1))</w:t>
            </w:r>
            <w:r w:rsidRPr="00CC6E3E">
              <w:rPr>
                <w:rFonts w:ascii="Arial" w:hAnsi="Arial" w:cs="Arial"/>
                <w:sz w:val="22"/>
                <w:szCs w:val="22"/>
              </w:rPr>
              <w:t xml:space="preserve"> be amended to remove the words “except by prior arrangement” onwards.</w:t>
            </w:r>
            <w:r w:rsidR="00174E9B" w:rsidRPr="00CC6E3E">
              <w:rPr>
                <w:rFonts w:ascii="Arial" w:hAnsi="Arial" w:cs="Arial"/>
                <w:sz w:val="22"/>
                <w:szCs w:val="22"/>
              </w:rPr>
              <w:t xml:space="preserve"> In the alternative, Item 62 be amended to reflect section 69(1A) of the Australian Consumer Law.</w:t>
            </w:r>
          </w:p>
          <w:p w14:paraId="08524952" w14:textId="07E91AA6" w:rsidR="00174E9B" w:rsidRDefault="00174E9B" w:rsidP="001C72C8">
            <w:pPr>
              <w:spacing w:line="276" w:lineRule="auto"/>
              <w:jc w:val="both"/>
              <w:rPr>
                <w:rFonts w:ascii="Arial" w:hAnsi="Arial" w:cs="Arial"/>
                <w:sz w:val="22"/>
                <w:szCs w:val="22"/>
              </w:rPr>
            </w:pPr>
          </w:p>
        </w:tc>
      </w:tr>
    </w:tbl>
    <w:p w14:paraId="6F4B3E67" w14:textId="246A395C" w:rsidR="00CC6E3E" w:rsidRPr="00CC6E3E" w:rsidRDefault="00CC6E3E" w:rsidP="00CC6E3E">
      <w:pPr>
        <w:spacing w:line="276" w:lineRule="auto"/>
        <w:ind w:right="-96"/>
        <w:jc w:val="both"/>
        <w:rPr>
          <w:rFonts w:ascii="Arial" w:hAnsi="Arial" w:cs="Arial"/>
          <w:sz w:val="22"/>
          <w:szCs w:val="22"/>
        </w:rPr>
      </w:pPr>
    </w:p>
    <w:p w14:paraId="1C109EC0" w14:textId="77777777" w:rsidR="00DF0D9D" w:rsidRDefault="00DF0D9D" w:rsidP="006D552B">
      <w:pPr>
        <w:spacing w:line="276" w:lineRule="auto"/>
        <w:ind w:right="-96"/>
        <w:jc w:val="both"/>
        <w:rPr>
          <w:rFonts w:ascii="Arial" w:hAnsi="Arial" w:cs="Arial"/>
          <w:sz w:val="22"/>
          <w:szCs w:val="22"/>
        </w:rPr>
      </w:pPr>
    </w:p>
    <w:p w14:paraId="7A48E5B6" w14:textId="77777777" w:rsidR="00DF0D9D" w:rsidRDefault="00DF0D9D" w:rsidP="006D552B">
      <w:pPr>
        <w:spacing w:line="276" w:lineRule="auto"/>
        <w:ind w:right="-96"/>
        <w:jc w:val="both"/>
        <w:rPr>
          <w:rFonts w:ascii="Arial" w:hAnsi="Arial" w:cs="Arial"/>
          <w:sz w:val="22"/>
          <w:szCs w:val="22"/>
        </w:rPr>
      </w:pPr>
    </w:p>
    <w:p w14:paraId="3226C8F1" w14:textId="77777777" w:rsidR="00DF0D9D" w:rsidRDefault="00DF0D9D" w:rsidP="006D552B">
      <w:pPr>
        <w:spacing w:line="276" w:lineRule="auto"/>
        <w:ind w:right="-96"/>
        <w:jc w:val="both"/>
        <w:rPr>
          <w:rFonts w:ascii="Arial" w:hAnsi="Arial" w:cs="Arial"/>
          <w:sz w:val="22"/>
          <w:szCs w:val="22"/>
        </w:rPr>
      </w:pPr>
    </w:p>
    <w:p w14:paraId="0863C47B" w14:textId="77777777" w:rsidR="00DF0D9D" w:rsidRDefault="00DF0D9D" w:rsidP="006D552B">
      <w:pPr>
        <w:spacing w:line="276" w:lineRule="auto"/>
        <w:ind w:right="-96"/>
        <w:jc w:val="both"/>
        <w:rPr>
          <w:rFonts w:ascii="Arial" w:hAnsi="Arial" w:cs="Arial"/>
          <w:sz w:val="22"/>
          <w:szCs w:val="22"/>
        </w:rPr>
      </w:pPr>
    </w:p>
    <w:p w14:paraId="2D52E883" w14:textId="77777777" w:rsidR="00DF0D9D" w:rsidRDefault="00DF0D9D" w:rsidP="006D552B">
      <w:pPr>
        <w:spacing w:line="276" w:lineRule="auto"/>
        <w:ind w:right="-96"/>
        <w:jc w:val="both"/>
        <w:rPr>
          <w:rFonts w:ascii="Arial" w:hAnsi="Arial" w:cs="Arial"/>
          <w:sz w:val="22"/>
          <w:szCs w:val="22"/>
        </w:rPr>
      </w:pPr>
    </w:p>
    <w:p w14:paraId="7C3E17D1" w14:textId="45962D41" w:rsidR="0043392B" w:rsidRPr="006D552B" w:rsidRDefault="0043392B" w:rsidP="006D552B">
      <w:pPr>
        <w:spacing w:line="276" w:lineRule="auto"/>
        <w:ind w:right="-96"/>
        <w:jc w:val="both"/>
        <w:rPr>
          <w:rFonts w:ascii="Arial" w:hAnsi="Arial" w:cs="Arial"/>
          <w:sz w:val="22"/>
          <w:szCs w:val="22"/>
        </w:rPr>
      </w:pPr>
      <w:r w:rsidRPr="006D552B">
        <w:rPr>
          <w:rFonts w:ascii="Arial" w:hAnsi="Arial" w:cs="Arial"/>
          <w:sz w:val="22"/>
          <w:szCs w:val="22"/>
        </w:rPr>
        <w:t xml:space="preserve">Please contact </w:t>
      </w:r>
      <w:r w:rsidR="002945A9" w:rsidRPr="006D552B">
        <w:rPr>
          <w:rFonts w:ascii="Arial" w:hAnsi="Arial" w:cs="Arial"/>
          <w:sz w:val="22"/>
          <w:szCs w:val="22"/>
        </w:rPr>
        <w:t>Katherine Temple</w:t>
      </w:r>
      <w:r w:rsidR="00B56DBA" w:rsidRPr="006D552B">
        <w:rPr>
          <w:rFonts w:ascii="Arial" w:hAnsi="Arial" w:cs="Arial"/>
          <w:sz w:val="22"/>
          <w:szCs w:val="22"/>
        </w:rPr>
        <w:t xml:space="preserve">, Senior Policy Officer </w:t>
      </w:r>
      <w:r w:rsidRPr="006D552B">
        <w:rPr>
          <w:rFonts w:ascii="Arial" w:hAnsi="Arial" w:cs="Arial"/>
          <w:sz w:val="22"/>
          <w:szCs w:val="22"/>
        </w:rPr>
        <w:t xml:space="preserve">on 03 9670 5088 or at </w:t>
      </w:r>
      <w:r w:rsidR="002945A9" w:rsidRPr="006D552B">
        <w:rPr>
          <w:rFonts w:ascii="Arial" w:hAnsi="Arial" w:cs="Arial"/>
          <w:sz w:val="22"/>
          <w:szCs w:val="22"/>
        </w:rPr>
        <w:t>katherine</w:t>
      </w:r>
      <w:r w:rsidRPr="006D552B">
        <w:rPr>
          <w:rFonts w:ascii="Arial" w:hAnsi="Arial" w:cs="Arial"/>
          <w:sz w:val="22"/>
          <w:szCs w:val="22"/>
        </w:rPr>
        <w:t xml:space="preserve">@consumeraction.org.au if you have any questions about </w:t>
      </w:r>
      <w:r w:rsidR="006819C9" w:rsidRPr="006D552B">
        <w:rPr>
          <w:rFonts w:ascii="Arial" w:hAnsi="Arial" w:cs="Arial"/>
          <w:sz w:val="22"/>
          <w:szCs w:val="22"/>
        </w:rPr>
        <w:t xml:space="preserve">our comments on the </w:t>
      </w:r>
      <w:r w:rsidR="00B56DBA" w:rsidRPr="006D552B">
        <w:rPr>
          <w:rFonts w:ascii="Arial" w:hAnsi="Arial" w:cs="Arial"/>
          <w:sz w:val="22"/>
          <w:szCs w:val="22"/>
        </w:rPr>
        <w:t xml:space="preserve">review. </w:t>
      </w:r>
    </w:p>
    <w:p w14:paraId="7524A94E" w14:textId="77777777" w:rsidR="00BC2F81" w:rsidRPr="00232EBD" w:rsidRDefault="00BC2F81" w:rsidP="00092F84">
      <w:pPr>
        <w:spacing w:line="276" w:lineRule="auto"/>
        <w:ind w:right="-96"/>
        <w:jc w:val="both"/>
        <w:rPr>
          <w:rFonts w:ascii="Arial" w:hAnsi="Arial" w:cs="Arial"/>
          <w:sz w:val="22"/>
          <w:szCs w:val="22"/>
        </w:rPr>
      </w:pPr>
    </w:p>
    <w:p w14:paraId="1A800342" w14:textId="77777777" w:rsidR="00B4328B" w:rsidRPr="00232EBD" w:rsidRDefault="00B4328B" w:rsidP="00092F84">
      <w:pPr>
        <w:keepNext/>
        <w:spacing w:line="276" w:lineRule="auto"/>
        <w:ind w:right="-96"/>
        <w:jc w:val="both"/>
        <w:rPr>
          <w:rFonts w:ascii="Arial" w:hAnsi="Arial" w:cs="Arial"/>
          <w:sz w:val="22"/>
          <w:szCs w:val="22"/>
        </w:rPr>
      </w:pPr>
      <w:r w:rsidRPr="00232EBD">
        <w:rPr>
          <w:rFonts w:ascii="Arial" w:hAnsi="Arial" w:cs="Arial"/>
          <w:sz w:val="22"/>
          <w:szCs w:val="22"/>
        </w:rPr>
        <w:t>Yours sincerely</w:t>
      </w:r>
    </w:p>
    <w:p w14:paraId="5D284AC6" w14:textId="77777777" w:rsidR="00B4328B" w:rsidRPr="00232EBD" w:rsidRDefault="00B4328B" w:rsidP="00092F84">
      <w:pPr>
        <w:spacing w:line="276" w:lineRule="auto"/>
        <w:ind w:right="-96"/>
        <w:jc w:val="both"/>
        <w:rPr>
          <w:rFonts w:ascii="Arial" w:hAnsi="Arial" w:cs="Arial"/>
          <w:sz w:val="22"/>
          <w:szCs w:val="22"/>
        </w:rPr>
      </w:pPr>
    </w:p>
    <w:p w14:paraId="6DC96FB5" w14:textId="4414C408" w:rsidR="00B4328B" w:rsidRPr="00232EBD" w:rsidRDefault="00625BD1" w:rsidP="00092F84">
      <w:pPr>
        <w:spacing w:line="276" w:lineRule="auto"/>
        <w:ind w:right="-96"/>
        <w:jc w:val="both"/>
        <w:rPr>
          <w:rFonts w:ascii="Arial" w:hAnsi="Arial" w:cs="Arial"/>
          <w:sz w:val="22"/>
          <w:szCs w:val="22"/>
          <w:lang w:val="en-US"/>
        </w:rPr>
      </w:pPr>
      <w:r w:rsidRPr="00C962B8">
        <w:rPr>
          <w:rFonts w:eastAsia="Arial" w:cs="Arial"/>
          <w:noProof/>
        </w:rPr>
        <w:drawing>
          <wp:anchor distT="0" distB="0" distL="114300" distR="114300" simplePos="0" relativeHeight="251674624" behindDoc="0" locked="0" layoutInCell="1" allowOverlap="1" wp14:anchorId="440B8AB3" wp14:editId="59E39A3E">
            <wp:simplePos x="0" y="0"/>
            <wp:positionH relativeFrom="column">
              <wp:posOffset>3156585</wp:posOffset>
            </wp:positionH>
            <wp:positionV relativeFrom="paragraph">
              <wp:posOffset>9525</wp:posOffset>
            </wp:positionV>
            <wp:extent cx="1866900" cy="55609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66900" cy="556098"/>
                    </a:xfrm>
                    <a:prstGeom prst="rect">
                      <a:avLst/>
                    </a:prstGeom>
                    <a:noFill/>
                    <a:ln>
                      <a:noFill/>
                    </a:ln>
                  </pic:spPr>
                </pic:pic>
              </a:graphicData>
            </a:graphic>
          </wp:anchor>
        </w:drawing>
      </w:r>
      <w:r w:rsidR="00B4328B" w:rsidRPr="00232EBD">
        <w:rPr>
          <w:rFonts w:ascii="Arial" w:hAnsi="Arial" w:cs="Arial"/>
          <w:noProof/>
          <w:sz w:val="22"/>
          <w:szCs w:val="22"/>
        </w:rPr>
        <w:drawing>
          <wp:inline distT="0" distB="0" distL="0" distR="0" wp14:anchorId="64ED79C7" wp14:editId="743C014A">
            <wp:extent cx="1875559"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1881379" cy="726146"/>
                    </a:xfrm>
                    <a:prstGeom prst="rect">
                      <a:avLst/>
                    </a:prstGeom>
                    <a:noFill/>
                    <a:ln w="9525">
                      <a:noFill/>
                      <a:miter lim="800000"/>
                      <a:headEnd/>
                      <a:tailEnd/>
                    </a:ln>
                  </pic:spPr>
                </pic:pic>
              </a:graphicData>
            </a:graphic>
          </wp:inline>
        </w:drawing>
      </w:r>
      <w:r w:rsidR="00B4328B" w:rsidRPr="00232EBD">
        <w:rPr>
          <w:rFonts w:ascii="Arial" w:hAnsi="Arial" w:cs="Arial"/>
          <w:noProof/>
          <w:sz w:val="22"/>
          <w:szCs w:val="22"/>
        </w:rPr>
        <w:t xml:space="preserve">              </w:t>
      </w:r>
    </w:p>
    <w:p w14:paraId="1E2323EB" w14:textId="77777777" w:rsidR="00625BD1" w:rsidRDefault="00625BD1" w:rsidP="00092F84">
      <w:pPr>
        <w:spacing w:line="276" w:lineRule="auto"/>
        <w:ind w:right="-96"/>
        <w:jc w:val="both"/>
        <w:rPr>
          <w:rFonts w:ascii="Arial" w:hAnsi="Arial" w:cs="Arial"/>
          <w:sz w:val="22"/>
          <w:szCs w:val="22"/>
          <w:lang w:val="en-US"/>
        </w:rPr>
      </w:pPr>
    </w:p>
    <w:p w14:paraId="75265FF0" w14:textId="7DED92BC" w:rsidR="00B4328B" w:rsidRPr="00232EBD" w:rsidRDefault="00B4328B" w:rsidP="00092F84">
      <w:pPr>
        <w:spacing w:line="276" w:lineRule="auto"/>
        <w:ind w:right="-96"/>
        <w:jc w:val="both"/>
        <w:rPr>
          <w:rFonts w:ascii="Arial" w:hAnsi="Arial" w:cs="Arial"/>
          <w:sz w:val="22"/>
          <w:szCs w:val="22"/>
          <w:lang w:val="en-US"/>
        </w:rPr>
      </w:pPr>
      <w:r w:rsidRPr="00232EBD">
        <w:rPr>
          <w:rFonts w:ascii="Arial" w:hAnsi="Arial" w:cs="Arial"/>
          <w:sz w:val="22"/>
          <w:szCs w:val="22"/>
          <w:lang w:val="en-US"/>
        </w:rPr>
        <w:t>Gerard Brody</w:t>
      </w:r>
      <w:r w:rsidRPr="00232EBD">
        <w:rPr>
          <w:rFonts w:ascii="Arial" w:hAnsi="Arial" w:cs="Arial"/>
          <w:sz w:val="22"/>
          <w:szCs w:val="22"/>
          <w:lang w:val="en-US"/>
        </w:rPr>
        <w:tab/>
      </w:r>
      <w:r w:rsidR="00625BD1">
        <w:rPr>
          <w:rFonts w:ascii="Arial" w:hAnsi="Arial" w:cs="Arial"/>
          <w:sz w:val="22"/>
          <w:szCs w:val="22"/>
          <w:lang w:val="en-US"/>
        </w:rPr>
        <w:tab/>
      </w:r>
      <w:r w:rsidR="00625BD1">
        <w:rPr>
          <w:rFonts w:ascii="Arial" w:hAnsi="Arial" w:cs="Arial"/>
          <w:sz w:val="22"/>
          <w:szCs w:val="22"/>
          <w:lang w:val="en-US"/>
        </w:rPr>
        <w:tab/>
      </w:r>
      <w:r w:rsidR="00625BD1">
        <w:rPr>
          <w:rFonts w:ascii="Arial" w:hAnsi="Arial" w:cs="Arial"/>
          <w:sz w:val="22"/>
          <w:szCs w:val="22"/>
          <w:lang w:val="en-US"/>
        </w:rPr>
        <w:tab/>
      </w:r>
      <w:r w:rsidR="00625BD1">
        <w:rPr>
          <w:rFonts w:ascii="Arial" w:hAnsi="Arial" w:cs="Arial"/>
          <w:sz w:val="22"/>
          <w:szCs w:val="22"/>
          <w:lang w:val="en-US"/>
        </w:rPr>
        <w:tab/>
      </w:r>
      <w:r w:rsidR="00625BD1">
        <w:rPr>
          <w:rFonts w:ascii="Arial" w:hAnsi="Arial" w:cs="Arial"/>
          <w:sz w:val="22"/>
          <w:szCs w:val="22"/>
          <w:lang w:val="en-US"/>
        </w:rPr>
        <w:tab/>
        <w:t>Karen Cox</w:t>
      </w:r>
      <w:r w:rsidRPr="00232EBD">
        <w:rPr>
          <w:rFonts w:ascii="Arial" w:hAnsi="Arial" w:cs="Arial"/>
          <w:sz w:val="22"/>
          <w:szCs w:val="22"/>
          <w:lang w:val="en-US"/>
        </w:rPr>
        <w:tab/>
      </w:r>
      <w:r w:rsidRPr="00232EBD">
        <w:rPr>
          <w:rFonts w:ascii="Arial" w:hAnsi="Arial" w:cs="Arial"/>
          <w:sz w:val="22"/>
          <w:szCs w:val="22"/>
          <w:lang w:val="en-US"/>
        </w:rPr>
        <w:tab/>
      </w:r>
      <w:r w:rsidRPr="00232EBD">
        <w:rPr>
          <w:rFonts w:ascii="Arial" w:hAnsi="Arial" w:cs="Arial"/>
          <w:sz w:val="22"/>
          <w:szCs w:val="22"/>
          <w:lang w:val="en-US"/>
        </w:rPr>
        <w:tab/>
      </w:r>
      <w:r w:rsidRPr="00232EBD">
        <w:rPr>
          <w:rFonts w:ascii="Arial" w:hAnsi="Arial" w:cs="Arial"/>
          <w:sz w:val="22"/>
          <w:szCs w:val="22"/>
          <w:lang w:val="en-US"/>
        </w:rPr>
        <w:tab/>
      </w:r>
    </w:p>
    <w:p w14:paraId="68F5A6C7" w14:textId="53B7F818" w:rsidR="007D45E0" w:rsidRPr="00232EBD" w:rsidRDefault="00B4328B" w:rsidP="00092F84">
      <w:pPr>
        <w:spacing w:line="276" w:lineRule="auto"/>
        <w:ind w:right="-96"/>
        <w:jc w:val="both"/>
        <w:rPr>
          <w:rFonts w:ascii="Arial" w:hAnsi="Arial" w:cs="Arial"/>
          <w:sz w:val="22"/>
          <w:szCs w:val="22"/>
          <w:lang w:val="en-US"/>
        </w:rPr>
      </w:pPr>
      <w:r w:rsidRPr="00232EBD">
        <w:rPr>
          <w:rFonts w:ascii="Arial" w:hAnsi="Arial" w:cs="Arial"/>
          <w:sz w:val="22"/>
          <w:szCs w:val="22"/>
          <w:lang w:val="en-US"/>
        </w:rPr>
        <w:t>Chief Executive Officer</w:t>
      </w:r>
      <w:r w:rsidRPr="00232EBD">
        <w:rPr>
          <w:rFonts w:ascii="Arial" w:hAnsi="Arial" w:cs="Arial"/>
          <w:sz w:val="22"/>
          <w:szCs w:val="22"/>
          <w:lang w:val="en-US"/>
        </w:rPr>
        <w:tab/>
      </w:r>
      <w:r w:rsidR="00625BD1">
        <w:rPr>
          <w:rFonts w:ascii="Arial" w:hAnsi="Arial" w:cs="Arial"/>
          <w:sz w:val="22"/>
          <w:szCs w:val="22"/>
          <w:lang w:val="en-US"/>
        </w:rPr>
        <w:tab/>
      </w:r>
      <w:r w:rsidR="00625BD1">
        <w:rPr>
          <w:rFonts w:ascii="Arial" w:hAnsi="Arial" w:cs="Arial"/>
          <w:sz w:val="22"/>
          <w:szCs w:val="22"/>
          <w:lang w:val="en-US"/>
        </w:rPr>
        <w:tab/>
      </w:r>
      <w:r w:rsidR="00625BD1">
        <w:rPr>
          <w:rFonts w:ascii="Arial" w:hAnsi="Arial" w:cs="Arial"/>
          <w:sz w:val="22"/>
          <w:szCs w:val="22"/>
          <w:lang w:val="en-US"/>
        </w:rPr>
        <w:tab/>
        <w:t>Co-ordinator</w:t>
      </w:r>
    </w:p>
    <w:p w14:paraId="4552446C" w14:textId="78FADF85" w:rsidR="009836BA" w:rsidRPr="00625BD1" w:rsidRDefault="007D45E0" w:rsidP="00625BD1">
      <w:pPr>
        <w:keepNext/>
        <w:spacing w:line="276" w:lineRule="auto"/>
        <w:ind w:right="-96"/>
        <w:jc w:val="both"/>
        <w:rPr>
          <w:rFonts w:ascii="Arial" w:hAnsi="Arial" w:cs="Arial"/>
          <w:b/>
          <w:sz w:val="22"/>
          <w:szCs w:val="22"/>
        </w:rPr>
      </w:pPr>
      <w:r w:rsidRPr="00232EBD">
        <w:rPr>
          <w:rFonts w:ascii="Arial" w:hAnsi="Arial" w:cs="Arial"/>
          <w:b/>
          <w:sz w:val="22"/>
          <w:szCs w:val="22"/>
        </w:rPr>
        <w:t>CONSUMER ACTION LAW CENTRE</w:t>
      </w:r>
      <w:r w:rsidR="00625BD1">
        <w:rPr>
          <w:rFonts w:ascii="Arial" w:hAnsi="Arial" w:cs="Arial"/>
          <w:b/>
          <w:sz w:val="22"/>
          <w:szCs w:val="22"/>
        </w:rPr>
        <w:tab/>
      </w:r>
      <w:r w:rsidR="00625BD1">
        <w:rPr>
          <w:rFonts w:ascii="Arial" w:hAnsi="Arial" w:cs="Arial"/>
          <w:b/>
          <w:sz w:val="22"/>
          <w:szCs w:val="22"/>
        </w:rPr>
        <w:tab/>
      </w:r>
      <w:r w:rsidR="00625BD1" w:rsidRPr="000E3F64">
        <w:rPr>
          <w:rFonts w:ascii="Arial" w:hAnsi="Arial" w:cs="Arial"/>
          <w:b/>
          <w:sz w:val="22"/>
          <w:szCs w:val="22"/>
        </w:rPr>
        <w:t>FINANCIAL RIGHTS LEGAL CENTRE</w:t>
      </w:r>
    </w:p>
    <w:p w14:paraId="0017B7C2" w14:textId="2279D9ED" w:rsidR="009836BA" w:rsidRDefault="009836BA" w:rsidP="009836BA">
      <w:pPr>
        <w:spacing w:line="276" w:lineRule="auto"/>
        <w:ind w:right="-96"/>
        <w:jc w:val="both"/>
        <w:rPr>
          <w:rFonts w:ascii="Arial" w:hAnsi="Arial" w:cs="Arial"/>
          <w:sz w:val="22"/>
          <w:szCs w:val="22"/>
          <w:lang w:val="en-US"/>
        </w:rPr>
      </w:pPr>
    </w:p>
    <w:p w14:paraId="28F13CC2" w14:textId="07200EF8" w:rsidR="009836BA" w:rsidRDefault="009836BA" w:rsidP="009836BA">
      <w:pPr>
        <w:spacing w:line="276" w:lineRule="auto"/>
        <w:ind w:right="-96"/>
        <w:jc w:val="both"/>
        <w:rPr>
          <w:rFonts w:ascii="Arial" w:hAnsi="Arial" w:cs="Arial"/>
          <w:sz w:val="22"/>
          <w:szCs w:val="22"/>
          <w:lang w:val="en-US"/>
        </w:rPr>
      </w:pPr>
      <w:r w:rsidRPr="00C962B8">
        <w:rPr>
          <w:rFonts w:eastAsia="Arial" w:cs="Arial"/>
          <w:b/>
          <w:noProof/>
        </w:rPr>
        <w:drawing>
          <wp:anchor distT="0" distB="0" distL="114300" distR="114300" simplePos="0" relativeHeight="251659264" behindDoc="0" locked="0" layoutInCell="1" allowOverlap="1" wp14:anchorId="45082133" wp14:editId="63EE71C6">
            <wp:simplePos x="0" y="0"/>
            <wp:positionH relativeFrom="margin">
              <wp:posOffset>0</wp:posOffset>
            </wp:positionH>
            <wp:positionV relativeFrom="paragraph">
              <wp:posOffset>0</wp:posOffset>
            </wp:positionV>
            <wp:extent cx="2713031" cy="685165"/>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13031" cy="685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B4A98E" w14:textId="0040E57F" w:rsidR="009836BA" w:rsidRDefault="00625BD1" w:rsidP="009836BA">
      <w:pPr>
        <w:spacing w:line="276" w:lineRule="auto"/>
        <w:ind w:right="-96"/>
        <w:jc w:val="both"/>
        <w:rPr>
          <w:rFonts w:ascii="Arial" w:hAnsi="Arial" w:cs="Arial"/>
          <w:sz w:val="22"/>
          <w:szCs w:val="22"/>
          <w:lang w:val="en-US"/>
        </w:rPr>
      </w:pPr>
      <w:r w:rsidRPr="00CF0B89">
        <w:rPr>
          <w:rFonts w:ascii="Calibri" w:hAnsi="Calibri" w:cs="Calibri"/>
          <w:noProof/>
          <w:vertAlign w:val="superscript"/>
        </w:rPr>
        <w:drawing>
          <wp:anchor distT="0" distB="0" distL="114300" distR="114300" simplePos="0" relativeHeight="251676672" behindDoc="0" locked="0" layoutInCell="1" allowOverlap="1" wp14:anchorId="54B0D682" wp14:editId="71B9021F">
            <wp:simplePos x="0" y="0"/>
            <wp:positionH relativeFrom="column">
              <wp:posOffset>3232785</wp:posOffset>
            </wp:positionH>
            <wp:positionV relativeFrom="paragraph">
              <wp:posOffset>6985</wp:posOffset>
            </wp:positionV>
            <wp:extent cx="1961515" cy="304800"/>
            <wp:effectExtent l="0" t="0" r="63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61515" cy="304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32D99437" w14:textId="6D9BA288" w:rsidR="009836BA" w:rsidRDefault="009836BA" w:rsidP="009836BA">
      <w:pPr>
        <w:spacing w:line="276" w:lineRule="auto"/>
        <w:ind w:right="-96"/>
        <w:jc w:val="both"/>
        <w:rPr>
          <w:rFonts w:ascii="Arial" w:hAnsi="Arial" w:cs="Arial"/>
          <w:sz w:val="22"/>
          <w:szCs w:val="22"/>
          <w:lang w:val="en-US"/>
        </w:rPr>
      </w:pPr>
    </w:p>
    <w:p w14:paraId="6017BD79" w14:textId="0EE61BA9" w:rsidR="009836BA" w:rsidRDefault="009836BA" w:rsidP="009836BA">
      <w:pPr>
        <w:spacing w:line="276" w:lineRule="auto"/>
        <w:ind w:right="-96"/>
        <w:jc w:val="both"/>
        <w:rPr>
          <w:rFonts w:ascii="Arial" w:hAnsi="Arial" w:cs="Arial"/>
          <w:sz w:val="22"/>
          <w:szCs w:val="22"/>
          <w:lang w:val="en-US"/>
        </w:rPr>
      </w:pPr>
    </w:p>
    <w:p w14:paraId="09CCAD57" w14:textId="51C0692E" w:rsidR="009836BA" w:rsidRPr="000E3F64" w:rsidRDefault="009836BA" w:rsidP="009836BA">
      <w:pPr>
        <w:spacing w:line="276" w:lineRule="auto"/>
        <w:ind w:right="-96"/>
        <w:jc w:val="both"/>
        <w:rPr>
          <w:rFonts w:ascii="Arial" w:hAnsi="Arial" w:cs="Arial"/>
          <w:sz w:val="22"/>
          <w:szCs w:val="22"/>
          <w:lang w:val="en-US"/>
        </w:rPr>
      </w:pPr>
      <w:r w:rsidRPr="000E3F64">
        <w:rPr>
          <w:rFonts w:ascii="Arial" w:hAnsi="Arial" w:cs="Arial"/>
          <w:sz w:val="22"/>
          <w:szCs w:val="22"/>
          <w:lang w:val="en-US"/>
        </w:rPr>
        <w:t>Fiona Guthrie</w:t>
      </w:r>
      <w:r w:rsidR="00625BD1">
        <w:rPr>
          <w:rFonts w:ascii="Arial" w:hAnsi="Arial" w:cs="Arial"/>
          <w:sz w:val="22"/>
          <w:szCs w:val="22"/>
          <w:lang w:val="en-US"/>
        </w:rPr>
        <w:tab/>
      </w:r>
      <w:r w:rsidR="00625BD1">
        <w:rPr>
          <w:rFonts w:ascii="Arial" w:hAnsi="Arial" w:cs="Arial"/>
          <w:sz w:val="22"/>
          <w:szCs w:val="22"/>
          <w:lang w:val="en-US"/>
        </w:rPr>
        <w:tab/>
      </w:r>
      <w:r w:rsidR="00625BD1">
        <w:rPr>
          <w:rFonts w:ascii="Arial" w:hAnsi="Arial" w:cs="Arial"/>
          <w:sz w:val="22"/>
          <w:szCs w:val="22"/>
          <w:lang w:val="en-US"/>
        </w:rPr>
        <w:tab/>
      </w:r>
      <w:r w:rsidR="00625BD1">
        <w:rPr>
          <w:rFonts w:ascii="Arial" w:hAnsi="Arial" w:cs="Arial"/>
          <w:sz w:val="22"/>
          <w:szCs w:val="22"/>
          <w:lang w:val="en-US"/>
        </w:rPr>
        <w:tab/>
      </w:r>
      <w:r w:rsidR="00625BD1">
        <w:rPr>
          <w:rFonts w:ascii="Arial" w:hAnsi="Arial" w:cs="Arial"/>
          <w:sz w:val="22"/>
          <w:szCs w:val="22"/>
          <w:lang w:val="en-US"/>
        </w:rPr>
        <w:tab/>
      </w:r>
      <w:r w:rsidR="00625BD1">
        <w:rPr>
          <w:rFonts w:ascii="Arial" w:hAnsi="Arial" w:cs="Arial"/>
          <w:sz w:val="22"/>
          <w:szCs w:val="22"/>
          <w:lang w:val="en-US"/>
        </w:rPr>
        <w:tab/>
        <w:t>Erin Turner</w:t>
      </w:r>
    </w:p>
    <w:p w14:paraId="0C22A90B" w14:textId="7860E9BB" w:rsidR="009836BA" w:rsidRPr="000E3F64" w:rsidRDefault="009836BA" w:rsidP="009836BA">
      <w:pPr>
        <w:spacing w:line="276" w:lineRule="auto"/>
        <w:ind w:right="-96"/>
        <w:jc w:val="both"/>
        <w:rPr>
          <w:rFonts w:ascii="Arial" w:hAnsi="Arial" w:cs="Arial"/>
          <w:sz w:val="22"/>
          <w:szCs w:val="22"/>
          <w:lang w:val="en-US"/>
        </w:rPr>
      </w:pPr>
      <w:r w:rsidRPr="000E3F64">
        <w:rPr>
          <w:rFonts w:ascii="Arial" w:hAnsi="Arial" w:cs="Arial"/>
          <w:sz w:val="22"/>
          <w:szCs w:val="22"/>
          <w:lang w:val="en-US"/>
        </w:rPr>
        <w:t>Chief Executive Officer</w:t>
      </w:r>
      <w:r w:rsidR="00625BD1">
        <w:rPr>
          <w:rFonts w:ascii="Arial" w:hAnsi="Arial" w:cs="Arial"/>
          <w:sz w:val="22"/>
          <w:szCs w:val="22"/>
          <w:lang w:val="en-US"/>
        </w:rPr>
        <w:tab/>
      </w:r>
      <w:r w:rsidR="00625BD1">
        <w:rPr>
          <w:rFonts w:ascii="Arial" w:hAnsi="Arial" w:cs="Arial"/>
          <w:sz w:val="22"/>
          <w:szCs w:val="22"/>
          <w:lang w:val="en-US"/>
        </w:rPr>
        <w:tab/>
      </w:r>
      <w:r w:rsidR="00625BD1">
        <w:rPr>
          <w:rFonts w:ascii="Arial" w:hAnsi="Arial" w:cs="Arial"/>
          <w:sz w:val="22"/>
          <w:szCs w:val="22"/>
          <w:lang w:val="en-US"/>
        </w:rPr>
        <w:tab/>
      </w:r>
      <w:r w:rsidR="00625BD1">
        <w:rPr>
          <w:rFonts w:ascii="Arial" w:hAnsi="Arial" w:cs="Arial"/>
          <w:sz w:val="22"/>
          <w:szCs w:val="22"/>
          <w:lang w:val="en-US"/>
        </w:rPr>
        <w:tab/>
        <w:t>Director – Campaigns &amp; Communications</w:t>
      </w:r>
    </w:p>
    <w:p w14:paraId="28BBB495" w14:textId="180A30C3" w:rsidR="009836BA" w:rsidRPr="000E3F64" w:rsidRDefault="009836BA" w:rsidP="009836BA">
      <w:pPr>
        <w:spacing w:line="276" w:lineRule="auto"/>
        <w:ind w:right="-96"/>
        <w:jc w:val="both"/>
        <w:rPr>
          <w:rFonts w:ascii="Arial" w:hAnsi="Arial" w:cs="Arial"/>
          <w:b/>
          <w:sz w:val="22"/>
          <w:szCs w:val="22"/>
          <w:lang w:val="en-US"/>
        </w:rPr>
      </w:pPr>
      <w:r w:rsidRPr="000E3F64">
        <w:rPr>
          <w:rFonts w:ascii="Arial" w:hAnsi="Arial" w:cs="Arial"/>
          <w:b/>
          <w:sz w:val="22"/>
          <w:szCs w:val="22"/>
          <w:lang w:val="en-US"/>
        </w:rPr>
        <w:t>FINANCIAL COUNSELLING AUSTRALIA</w:t>
      </w:r>
      <w:r w:rsidR="00625BD1">
        <w:rPr>
          <w:rFonts w:ascii="Arial" w:hAnsi="Arial" w:cs="Arial"/>
          <w:b/>
          <w:sz w:val="22"/>
          <w:szCs w:val="22"/>
          <w:lang w:val="en-US"/>
        </w:rPr>
        <w:tab/>
      </w:r>
      <w:r w:rsidR="00625BD1">
        <w:rPr>
          <w:rFonts w:ascii="Arial" w:hAnsi="Arial" w:cs="Arial"/>
          <w:b/>
          <w:sz w:val="22"/>
          <w:szCs w:val="22"/>
          <w:lang w:val="en-US"/>
        </w:rPr>
        <w:tab/>
        <w:t>CHOICE</w:t>
      </w:r>
    </w:p>
    <w:p w14:paraId="406A2C4F" w14:textId="346A9415" w:rsidR="00234D96" w:rsidRDefault="00234D96" w:rsidP="00092F84">
      <w:pPr>
        <w:spacing w:line="276" w:lineRule="auto"/>
        <w:rPr>
          <w:rFonts w:ascii="Arial" w:hAnsi="Arial" w:cs="Arial"/>
          <w:sz w:val="22"/>
          <w:szCs w:val="22"/>
          <w:lang w:val="en-US"/>
        </w:rPr>
      </w:pPr>
    </w:p>
    <w:p w14:paraId="30FEDE9F" w14:textId="70DE604B" w:rsidR="00234D96" w:rsidRDefault="00625BD1" w:rsidP="00092F84">
      <w:pPr>
        <w:spacing w:line="276" w:lineRule="auto"/>
        <w:rPr>
          <w:rFonts w:ascii="Arial" w:hAnsi="Arial" w:cs="Arial"/>
          <w:sz w:val="22"/>
          <w:szCs w:val="22"/>
          <w:lang w:val="en-US"/>
        </w:rPr>
      </w:pPr>
      <w:r>
        <w:rPr>
          <w:noProof/>
        </w:rPr>
        <w:drawing>
          <wp:anchor distT="0" distB="0" distL="114300" distR="114300" simplePos="0" relativeHeight="251677696" behindDoc="0" locked="0" layoutInCell="1" allowOverlap="1" wp14:anchorId="0DC39FF0" wp14:editId="25B00B93">
            <wp:simplePos x="0" y="0"/>
            <wp:positionH relativeFrom="column">
              <wp:posOffset>3147060</wp:posOffset>
            </wp:positionH>
            <wp:positionV relativeFrom="paragraph">
              <wp:posOffset>180340</wp:posOffset>
            </wp:positionV>
            <wp:extent cx="2138045" cy="553085"/>
            <wp:effectExtent l="0" t="0" r="0" b="0"/>
            <wp:wrapNone/>
            <wp:docPr id="6" name="Picture 6" descr="C:\Users\Katherine\AppData\Local\Microsoft\Windows\INetCache\Content.Word\Mark Zirnsak signatur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erine\AppData\Local\Microsoft\Windows\INetCache\Content.Word\Mark Zirnsak signature (002).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38045" cy="553085"/>
                    </a:xfrm>
                    <a:prstGeom prst="rect">
                      <a:avLst/>
                    </a:prstGeom>
                    <a:noFill/>
                    <a:ln>
                      <a:noFill/>
                    </a:ln>
                  </pic:spPr>
                </pic:pic>
              </a:graphicData>
            </a:graphic>
          </wp:anchor>
        </w:drawing>
      </w:r>
      <w:r w:rsidR="00234D96">
        <w:rPr>
          <w:noProof/>
        </w:rPr>
        <w:drawing>
          <wp:inline distT="0" distB="0" distL="0" distR="0" wp14:anchorId="266F7777" wp14:editId="4D105CEF">
            <wp:extent cx="1412240" cy="927735"/>
            <wp:effectExtent l="0" t="0" r="0" b="5715"/>
            <wp:docPr id="5" name="Picture 5" descr="C:\Users\Katherine\AppData\Local\Microsoft\Windows\INetCache\Content.Word\Sandy-Ross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erine\AppData\Local\Microsoft\Windows\INetCache\Content.Word\Sandy-Ross (002).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12240" cy="927735"/>
                    </a:xfrm>
                    <a:prstGeom prst="rect">
                      <a:avLst/>
                    </a:prstGeom>
                    <a:noFill/>
                    <a:ln>
                      <a:noFill/>
                    </a:ln>
                  </pic:spPr>
                </pic:pic>
              </a:graphicData>
            </a:graphic>
          </wp:inline>
        </w:drawing>
      </w:r>
    </w:p>
    <w:p w14:paraId="630BAB80" w14:textId="77777777" w:rsidR="00234D96" w:rsidRDefault="00234D96" w:rsidP="00092F84">
      <w:pPr>
        <w:spacing w:line="276" w:lineRule="auto"/>
        <w:rPr>
          <w:rFonts w:ascii="Arial" w:hAnsi="Arial" w:cs="Arial"/>
          <w:sz w:val="22"/>
          <w:szCs w:val="22"/>
          <w:lang w:val="en-US"/>
        </w:rPr>
      </w:pPr>
    </w:p>
    <w:p w14:paraId="01BF4575" w14:textId="410D3EA8" w:rsidR="00234D96" w:rsidRPr="00234D96" w:rsidRDefault="00234D96" w:rsidP="00092F84">
      <w:pPr>
        <w:spacing w:line="276" w:lineRule="auto"/>
        <w:rPr>
          <w:rFonts w:ascii="Arial" w:hAnsi="Arial" w:cs="Arial"/>
          <w:sz w:val="22"/>
          <w:szCs w:val="22"/>
          <w:lang w:val="en-US"/>
        </w:rPr>
      </w:pPr>
      <w:r w:rsidRPr="00234D96">
        <w:rPr>
          <w:rFonts w:ascii="Arial" w:hAnsi="Arial" w:cs="Arial"/>
          <w:sz w:val="22"/>
          <w:szCs w:val="22"/>
          <w:lang w:val="en-US"/>
        </w:rPr>
        <w:t>Sandy Ross</w:t>
      </w:r>
      <w:r w:rsidR="00625BD1">
        <w:rPr>
          <w:rFonts w:ascii="Arial" w:hAnsi="Arial" w:cs="Arial"/>
          <w:sz w:val="22"/>
          <w:szCs w:val="22"/>
          <w:lang w:val="en-US"/>
        </w:rPr>
        <w:tab/>
      </w:r>
      <w:r w:rsidR="00625BD1">
        <w:rPr>
          <w:rFonts w:ascii="Arial" w:hAnsi="Arial" w:cs="Arial"/>
          <w:sz w:val="22"/>
          <w:szCs w:val="22"/>
          <w:lang w:val="en-US"/>
        </w:rPr>
        <w:tab/>
      </w:r>
      <w:r w:rsidR="00625BD1">
        <w:rPr>
          <w:rFonts w:ascii="Arial" w:hAnsi="Arial" w:cs="Arial"/>
          <w:sz w:val="22"/>
          <w:szCs w:val="22"/>
          <w:lang w:val="en-US"/>
        </w:rPr>
        <w:tab/>
      </w:r>
      <w:r w:rsidR="00625BD1">
        <w:rPr>
          <w:rFonts w:ascii="Arial" w:hAnsi="Arial" w:cs="Arial"/>
          <w:sz w:val="22"/>
          <w:szCs w:val="22"/>
          <w:lang w:val="en-US"/>
        </w:rPr>
        <w:tab/>
      </w:r>
      <w:r w:rsidR="00625BD1">
        <w:rPr>
          <w:rFonts w:ascii="Arial" w:hAnsi="Arial" w:cs="Arial"/>
          <w:sz w:val="22"/>
          <w:szCs w:val="22"/>
          <w:lang w:val="en-US"/>
        </w:rPr>
        <w:tab/>
      </w:r>
      <w:r w:rsidR="00625BD1">
        <w:rPr>
          <w:rFonts w:ascii="Arial" w:hAnsi="Arial" w:cs="Arial"/>
          <w:sz w:val="22"/>
          <w:szCs w:val="22"/>
          <w:lang w:val="en-US"/>
        </w:rPr>
        <w:tab/>
      </w:r>
      <w:r w:rsidR="00625BD1" w:rsidRPr="00234D96">
        <w:rPr>
          <w:rFonts w:ascii="Arial" w:hAnsi="Arial" w:cs="Arial"/>
          <w:sz w:val="22"/>
          <w:szCs w:val="22"/>
        </w:rPr>
        <w:t>Dr Mark Zirnsak</w:t>
      </w:r>
    </w:p>
    <w:p w14:paraId="0507BF52" w14:textId="1917B18A" w:rsidR="00234D96" w:rsidRPr="00234D96" w:rsidRDefault="00234D96" w:rsidP="00092F84">
      <w:pPr>
        <w:spacing w:line="276" w:lineRule="auto"/>
        <w:rPr>
          <w:rFonts w:ascii="Arial" w:hAnsi="Arial" w:cs="Arial"/>
          <w:sz w:val="22"/>
          <w:szCs w:val="22"/>
        </w:rPr>
      </w:pPr>
      <w:r w:rsidRPr="00234D96">
        <w:rPr>
          <w:rFonts w:ascii="Arial" w:hAnsi="Arial" w:cs="Arial"/>
          <w:sz w:val="22"/>
          <w:szCs w:val="22"/>
        </w:rPr>
        <w:t>Executive Officer</w:t>
      </w:r>
      <w:r w:rsidR="00625BD1">
        <w:rPr>
          <w:rFonts w:ascii="Arial" w:hAnsi="Arial" w:cs="Arial"/>
          <w:sz w:val="22"/>
          <w:szCs w:val="22"/>
        </w:rPr>
        <w:tab/>
      </w:r>
      <w:r w:rsidR="00625BD1">
        <w:rPr>
          <w:rFonts w:ascii="Arial" w:hAnsi="Arial" w:cs="Arial"/>
          <w:sz w:val="22"/>
          <w:szCs w:val="22"/>
        </w:rPr>
        <w:tab/>
      </w:r>
      <w:r w:rsidR="00625BD1">
        <w:rPr>
          <w:rFonts w:ascii="Arial" w:hAnsi="Arial" w:cs="Arial"/>
          <w:sz w:val="22"/>
          <w:szCs w:val="22"/>
        </w:rPr>
        <w:tab/>
      </w:r>
      <w:r w:rsidR="00625BD1">
        <w:rPr>
          <w:rFonts w:ascii="Arial" w:hAnsi="Arial" w:cs="Arial"/>
          <w:sz w:val="22"/>
          <w:szCs w:val="22"/>
        </w:rPr>
        <w:tab/>
      </w:r>
      <w:r w:rsidR="00625BD1">
        <w:rPr>
          <w:rFonts w:ascii="Arial" w:hAnsi="Arial" w:cs="Arial"/>
          <w:sz w:val="22"/>
          <w:szCs w:val="22"/>
        </w:rPr>
        <w:tab/>
      </w:r>
      <w:r w:rsidR="00625BD1" w:rsidRPr="00234D96">
        <w:rPr>
          <w:rFonts w:ascii="Arial" w:hAnsi="Arial" w:cs="Arial"/>
          <w:sz w:val="22"/>
          <w:szCs w:val="22"/>
        </w:rPr>
        <w:t>Director, Social Justice</w:t>
      </w:r>
    </w:p>
    <w:p w14:paraId="40DBCEB8" w14:textId="204F5182" w:rsidR="00625BD1" w:rsidRDefault="00234D96" w:rsidP="00092F84">
      <w:pPr>
        <w:spacing w:line="276" w:lineRule="auto"/>
        <w:rPr>
          <w:rFonts w:ascii="Arial" w:hAnsi="Arial" w:cs="Arial"/>
          <w:b/>
          <w:sz w:val="22"/>
          <w:szCs w:val="22"/>
        </w:rPr>
      </w:pPr>
      <w:r w:rsidRPr="00234D96">
        <w:rPr>
          <w:rFonts w:ascii="Arial" w:hAnsi="Arial" w:cs="Arial"/>
          <w:b/>
          <w:sz w:val="22"/>
          <w:szCs w:val="22"/>
        </w:rPr>
        <w:t xml:space="preserve">FINANCIAL &amp; CONSUMER </w:t>
      </w:r>
      <w:r w:rsidR="00625BD1">
        <w:rPr>
          <w:rFonts w:ascii="Arial" w:hAnsi="Arial" w:cs="Arial"/>
          <w:b/>
          <w:sz w:val="22"/>
          <w:szCs w:val="22"/>
        </w:rPr>
        <w:tab/>
      </w:r>
      <w:r w:rsidR="00625BD1">
        <w:rPr>
          <w:rFonts w:ascii="Arial" w:hAnsi="Arial" w:cs="Arial"/>
          <w:b/>
          <w:sz w:val="22"/>
          <w:szCs w:val="22"/>
        </w:rPr>
        <w:tab/>
      </w:r>
      <w:r w:rsidR="00625BD1">
        <w:rPr>
          <w:rFonts w:ascii="Arial" w:hAnsi="Arial" w:cs="Arial"/>
          <w:b/>
          <w:sz w:val="22"/>
          <w:szCs w:val="22"/>
        </w:rPr>
        <w:tab/>
      </w:r>
      <w:r w:rsidR="00625BD1">
        <w:rPr>
          <w:rFonts w:ascii="Arial" w:hAnsi="Arial" w:cs="Arial"/>
          <w:b/>
          <w:sz w:val="22"/>
          <w:szCs w:val="22"/>
        </w:rPr>
        <w:tab/>
      </w:r>
      <w:r w:rsidR="00625BD1" w:rsidRPr="00234D96">
        <w:rPr>
          <w:rFonts w:ascii="Arial" w:hAnsi="Arial" w:cs="Arial"/>
          <w:b/>
          <w:sz w:val="22"/>
          <w:szCs w:val="22"/>
        </w:rPr>
        <w:t>SYNOD OF VICTORIA AND TASMANIA</w:t>
      </w:r>
    </w:p>
    <w:p w14:paraId="444A31C0" w14:textId="640E49D3" w:rsidR="00234D96" w:rsidRPr="00625BD1" w:rsidRDefault="00234D96" w:rsidP="00092F84">
      <w:pPr>
        <w:spacing w:line="276" w:lineRule="auto"/>
        <w:rPr>
          <w:rFonts w:ascii="Arial" w:hAnsi="Arial" w:cs="Arial"/>
          <w:b/>
          <w:sz w:val="22"/>
          <w:szCs w:val="22"/>
        </w:rPr>
      </w:pPr>
      <w:r w:rsidRPr="00234D96">
        <w:rPr>
          <w:rFonts w:ascii="Arial" w:hAnsi="Arial" w:cs="Arial"/>
          <w:b/>
          <w:sz w:val="22"/>
          <w:szCs w:val="22"/>
        </w:rPr>
        <w:t>RIGHTS COUNCIL INC.</w:t>
      </w:r>
      <w:r w:rsidR="00625BD1">
        <w:rPr>
          <w:rFonts w:ascii="Arial" w:hAnsi="Arial" w:cs="Arial"/>
          <w:b/>
          <w:sz w:val="22"/>
          <w:szCs w:val="22"/>
        </w:rPr>
        <w:tab/>
      </w:r>
      <w:r w:rsidR="00625BD1">
        <w:rPr>
          <w:rFonts w:ascii="Arial" w:hAnsi="Arial" w:cs="Arial"/>
          <w:b/>
          <w:sz w:val="22"/>
          <w:szCs w:val="22"/>
        </w:rPr>
        <w:tab/>
      </w:r>
      <w:r w:rsidR="00625BD1">
        <w:rPr>
          <w:rFonts w:ascii="Arial" w:hAnsi="Arial" w:cs="Arial"/>
          <w:b/>
          <w:sz w:val="22"/>
          <w:szCs w:val="22"/>
        </w:rPr>
        <w:tab/>
      </w:r>
      <w:r w:rsidR="00625BD1">
        <w:rPr>
          <w:rFonts w:ascii="Arial" w:hAnsi="Arial" w:cs="Arial"/>
          <w:b/>
          <w:sz w:val="22"/>
          <w:szCs w:val="22"/>
        </w:rPr>
        <w:tab/>
      </w:r>
      <w:r w:rsidR="00625BD1" w:rsidRPr="00234D96">
        <w:rPr>
          <w:rFonts w:ascii="Arial" w:hAnsi="Arial" w:cs="Arial"/>
          <w:b/>
          <w:sz w:val="22"/>
          <w:szCs w:val="22"/>
        </w:rPr>
        <w:t>UNITING CHURCH IN AUSTRALIA</w:t>
      </w:r>
    </w:p>
    <w:p w14:paraId="4A2D2655" w14:textId="43490269" w:rsidR="00234D96" w:rsidRDefault="00234D96" w:rsidP="00092F84">
      <w:pPr>
        <w:spacing w:line="276" w:lineRule="auto"/>
        <w:rPr>
          <w:rFonts w:ascii="Arial" w:hAnsi="Arial" w:cs="Arial"/>
          <w:b/>
          <w:sz w:val="22"/>
          <w:szCs w:val="22"/>
          <w:lang w:val="en-US"/>
        </w:rPr>
      </w:pPr>
    </w:p>
    <w:p w14:paraId="1FE07AD0" w14:textId="45326FE0" w:rsidR="00234D96" w:rsidRDefault="00625BD1" w:rsidP="00092F84">
      <w:pPr>
        <w:spacing w:line="276" w:lineRule="auto"/>
        <w:rPr>
          <w:rFonts w:ascii="Arial" w:hAnsi="Arial" w:cs="Arial"/>
          <w:b/>
          <w:sz w:val="22"/>
          <w:szCs w:val="22"/>
          <w:lang w:val="en-US"/>
        </w:rPr>
      </w:pPr>
      <w:r>
        <w:rPr>
          <w:noProof/>
        </w:rPr>
        <w:drawing>
          <wp:anchor distT="0" distB="0" distL="114300" distR="114300" simplePos="0" relativeHeight="251679744" behindDoc="0" locked="0" layoutInCell="1" allowOverlap="1" wp14:anchorId="4435C1FE" wp14:editId="796839DD">
            <wp:simplePos x="0" y="0"/>
            <wp:positionH relativeFrom="column">
              <wp:posOffset>3019425</wp:posOffset>
            </wp:positionH>
            <wp:positionV relativeFrom="paragraph">
              <wp:posOffset>8890</wp:posOffset>
            </wp:positionV>
            <wp:extent cx="2095500" cy="8382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095500" cy="838200"/>
                    </a:xfrm>
                    <a:prstGeom prst="rect">
                      <a:avLst/>
                    </a:prstGeom>
                  </pic:spPr>
                </pic:pic>
              </a:graphicData>
            </a:graphic>
            <wp14:sizeRelH relativeFrom="margin">
              <wp14:pctWidth>0</wp14:pctWidth>
            </wp14:sizeRelH>
            <wp14:sizeRelV relativeFrom="margin">
              <wp14:pctHeight>0</wp14:pctHeight>
            </wp14:sizeRelV>
          </wp:anchor>
        </w:drawing>
      </w:r>
      <w:r w:rsidR="00234D96">
        <w:rPr>
          <w:noProof/>
        </w:rPr>
        <w:drawing>
          <wp:inline distT="0" distB="0" distL="0" distR="0" wp14:anchorId="15726454" wp14:editId="4B3FC41F">
            <wp:extent cx="1290955" cy="685800"/>
            <wp:effectExtent l="0" t="0" r="4445" b="0"/>
            <wp:docPr id="9" name="Picture 9" descr="C:\Users\Katherine\AppData\Local\Microsoft\Windows\INetCache\Content.Word\Aaron_Davis_signatur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atherine\AppData\Local\Microsoft\Windows\INetCache\Content.Word\Aaron_Davis_signature (002).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90955" cy="685800"/>
                    </a:xfrm>
                    <a:prstGeom prst="rect">
                      <a:avLst/>
                    </a:prstGeom>
                    <a:noFill/>
                    <a:ln>
                      <a:noFill/>
                    </a:ln>
                  </pic:spPr>
                </pic:pic>
              </a:graphicData>
            </a:graphic>
          </wp:inline>
        </w:drawing>
      </w:r>
    </w:p>
    <w:p w14:paraId="3E115663" w14:textId="77777777" w:rsidR="00234D96" w:rsidRDefault="00234D96" w:rsidP="00092F84">
      <w:pPr>
        <w:spacing w:line="276" w:lineRule="auto"/>
        <w:rPr>
          <w:rFonts w:ascii="Arial" w:hAnsi="Arial" w:cs="Arial"/>
          <w:b/>
          <w:sz w:val="22"/>
          <w:szCs w:val="22"/>
          <w:lang w:val="en-US"/>
        </w:rPr>
      </w:pPr>
    </w:p>
    <w:p w14:paraId="7387CA19" w14:textId="098BE8EE" w:rsidR="00234D96" w:rsidRPr="00625BD1" w:rsidRDefault="00234D96" w:rsidP="00234D96">
      <w:pPr>
        <w:spacing w:line="276" w:lineRule="auto"/>
        <w:rPr>
          <w:sz w:val="22"/>
          <w:szCs w:val="22"/>
          <w:lang w:val="en-US"/>
        </w:rPr>
      </w:pPr>
      <w:r w:rsidRPr="00234D96">
        <w:rPr>
          <w:rFonts w:ascii="Arial" w:hAnsi="Arial" w:cs="Arial"/>
          <w:sz w:val="22"/>
          <w:szCs w:val="22"/>
          <w:lang w:val="en-US"/>
        </w:rPr>
        <w:t>Aaron Davis</w:t>
      </w:r>
      <w:r w:rsidR="00625BD1">
        <w:rPr>
          <w:rFonts w:ascii="Arial" w:hAnsi="Arial" w:cs="Arial"/>
          <w:sz w:val="22"/>
          <w:szCs w:val="22"/>
          <w:lang w:val="en-US"/>
        </w:rPr>
        <w:tab/>
      </w:r>
      <w:r w:rsidR="00625BD1">
        <w:rPr>
          <w:rFonts w:ascii="Arial" w:hAnsi="Arial" w:cs="Arial"/>
          <w:sz w:val="22"/>
          <w:szCs w:val="22"/>
          <w:lang w:val="en-US"/>
        </w:rPr>
        <w:tab/>
      </w:r>
      <w:r w:rsidR="00625BD1">
        <w:rPr>
          <w:rFonts w:ascii="Arial" w:hAnsi="Arial" w:cs="Arial"/>
          <w:sz w:val="22"/>
          <w:szCs w:val="22"/>
          <w:lang w:val="en-US"/>
        </w:rPr>
        <w:tab/>
      </w:r>
      <w:r w:rsidR="00625BD1">
        <w:rPr>
          <w:rFonts w:ascii="Arial" w:hAnsi="Arial" w:cs="Arial"/>
          <w:sz w:val="22"/>
          <w:szCs w:val="22"/>
          <w:lang w:val="en-US"/>
        </w:rPr>
        <w:tab/>
      </w:r>
      <w:r w:rsidR="00625BD1">
        <w:rPr>
          <w:rFonts w:ascii="Arial" w:hAnsi="Arial" w:cs="Arial"/>
          <w:sz w:val="22"/>
          <w:szCs w:val="22"/>
          <w:lang w:val="en-US"/>
        </w:rPr>
        <w:tab/>
      </w:r>
      <w:r w:rsidR="00625BD1">
        <w:rPr>
          <w:rFonts w:ascii="Arial" w:hAnsi="Arial" w:cs="Arial"/>
          <w:sz w:val="22"/>
          <w:szCs w:val="22"/>
          <w:lang w:val="en-US"/>
        </w:rPr>
        <w:tab/>
      </w:r>
      <w:r w:rsidR="00625BD1" w:rsidRPr="00625BD1">
        <w:rPr>
          <w:rFonts w:ascii="Arial" w:hAnsi="Arial" w:cs="Arial"/>
          <w:sz w:val="22"/>
          <w:szCs w:val="22"/>
        </w:rPr>
        <w:t>Gemma Mitchell</w:t>
      </w:r>
    </w:p>
    <w:p w14:paraId="35DF1220" w14:textId="198B04BC" w:rsidR="00234D96" w:rsidRPr="00625BD1" w:rsidRDefault="00234D96" w:rsidP="00234D96">
      <w:pPr>
        <w:spacing w:line="276" w:lineRule="auto"/>
        <w:rPr>
          <w:sz w:val="22"/>
          <w:szCs w:val="22"/>
          <w:lang w:val="en-US"/>
        </w:rPr>
      </w:pPr>
      <w:r w:rsidRPr="00234D96">
        <w:rPr>
          <w:rFonts w:ascii="Arial" w:hAnsi="Arial" w:cs="Arial"/>
          <w:color w:val="000000"/>
          <w:sz w:val="22"/>
          <w:szCs w:val="22"/>
          <w:lang w:eastAsia="en-GB"/>
        </w:rPr>
        <w:t>Chief Executive Officer</w:t>
      </w:r>
      <w:r w:rsidR="00625BD1">
        <w:rPr>
          <w:rFonts w:ascii="Arial" w:hAnsi="Arial" w:cs="Arial"/>
          <w:color w:val="000000"/>
          <w:sz w:val="22"/>
          <w:szCs w:val="22"/>
          <w:lang w:eastAsia="en-GB"/>
        </w:rPr>
        <w:tab/>
      </w:r>
      <w:r w:rsidR="00625BD1">
        <w:rPr>
          <w:rFonts w:ascii="Arial" w:hAnsi="Arial" w:cs="Arial"/>
          <w:color w:val="000000"/>
          <w:sz w:val="22"/>
          <w:szCs w:val="22"/>
          <w:lang w:eastAsia="en-GB"/>
        </w:rPr>
        <w:tab/>
      </w:r>
      <w:r w:rsidR="00625BD1">
        <w:rPr>
          <w:rFonts w:ascii="Arial" w:hAnsi="Arial" w:cs="Arial"/>
          <w:color w:val="000000"/>
          <w:sz w:val="22"/>
          <w:szCs w:val="22"/>
          <w:lang w:eastAsia="en-GB"/>
        </w:rPr>
        <w:tab/>
      </w:r>
      <w:r w:rsidR="00625BD1">
        <w:rPr>
          <w:rFonts w:ascii="Arial" w:hAnsi="Arial" w:cs="Arial"/>
          <w:color w:val="000000"/>
          <w:sz w:val="22"/>
          <w:szCs w:val="22"/>
          <w:lang w:eastAsia="en-GB"/>
        </w:rPr>
        <w:tab/>
      </w:r>
      <w:r w:rsidR="00625BD1" w:rsidRPr="00625BD1">
        <w:rPr>
          <w:rFonts w:ascii="Arial" w:hAnsi="Arial" w:cs="Arial"/>
          <w:sz w:val="22"/>
          <w:szCs w:val="22"/>
        </w:rPr>
        <w:t>Managing Solicitor</w:t>
      </w:r>
    </w:p>
    <w:p w14:paraId="2027D059" w14:textId="57DB1E17" w:rsidR="00625BD1" w:rsidRDefault="00234D96" w:rsidP="00234D96">
      <w:pPr>
        <w:spacing w:line="276" w:lineRule="auto"/>
        <w:rPr>
          <w:rFonts w:ascii="Arial" w:hAnsi="Arial" w:cs="Arial"/>
          <w:b/>
          <w:bCs/>
          <w:color w:val="000000"/>
          <w:sz w:val="22"/>
          <w:szCs w:val="22"/>
          <w:lang w:eastAsia="en-GB"/>
        </w:rPr>
      </w:pPr>
      <w:r w:rsidRPr="00234D96">
        <w:rPr>
          <w:rFonts w:ascii="Arial" w:hAnsi="Arial" w:cs="Arial"/>
          <w:b/>
          <w:bCs/>
          <w:color w:val="000000"/>
          <w:sz w:val="22"/>
          <w:szCs w:val="22"/>
          <w:lang w:eastAsia="en-GB"/>
        </w:rPr>
        <w:t xml:space="preserve">INDIGENOUS CONSUMER </w:t>
      </w:r>
      <w:r w:rsidR="00625BD1">
        <w:rPr>
          <w:rFonts w:ascii="Arial" w:hAnsi="Arial" w:cs="Arial"/>
          <w:b/>
          <w:bCs/>
          <w:color w:val="000000"/>
          <w:sz w:val="22"/>
          <w:szCs w:val="22"/>
          <w:lang w:eastAsia="en-GB"/>
        </w:rPr>
        <w:tab/>
      </w:r>
      <w:r w:rsidR="00625BD1">
        <w:rPr>
          <w:rFonts w:ascii="Arial" w:hAnsi="Arial" w:cs="Arial"/>
          <w:b/>
          <w:bCs/>
          <w:color w:val="000000"/>
          <w:sz w:val="22"/>
          <w:szCs w:val="22"/>
          <w:lang w:eastAsia="en-GB"/>
        </w:rPr>
        <w:tab/>
      </w:r>
      <w:r w:rsidR="00625BD1">
        <w:rPr>
          <w:rFonts w:ascii="Arial" w:hAnsi="Arial" w:cs="Arial"/>
          <w:b/>
          <w:bCs/>
          <w:color w:val="000000"/>
          <w:sz w:val="22"/>
          <w:szCs w:val="22"/>
          <w:lang w:eastAsia="en-GB"/>
        </w:rPr>
        <w:tab/>
      </w:r>
      <w:r w:rsidR="00625BD1">
        <w:rPr>
          <w:rFonts w:ascii="Arial" w:hAnsi="Arial" w:cs="Arial"/>
          <w:b/>
          <w:bCs/>
          <w:color w:val="000000"/>
          <w:sz w:val="22"/>
          <w:szCs w:val="22"/>
          <w:lang w:eastAsia="en-GB"/>
        </w:rPr>
        <w:tab/>
      </w:r>
      <w:r w:rsidR="00625BD1" w:rsidRPr="00625BD1">
        <w:rPr>
          <w:rFonts w:ascii="Arial" w:hAnsi="Arial" w:cs="Arial"/>
          <w:b/>
          <w:bCs/>
          <w:sz w:val="22"/>
          <w:szCs w:val="22"/>
        </w:rPr>
        <w:t>CONSUMER CREDIT LEGAL</w:t>
      </w:r>
    </w:p>
    <w:p w14:paraId="0176261D" w14:textId="77777777" w:rsidR="00625BD1" w:rsidRPr="00625BD1" w:rsidRDefault="00234D96" w:rsidP="00625BD1">
      <w:pPr>
        <w:spacing w:line="276" w:lineRule="auto"/>
        <w:rPr>
          <w:sz w:val="22"/>
          <w:szCs w:val="22"/>
          <w:lang w:val="en-US"/>
        </w:rPr>
      </w:pPr>
      <w:r w:rsidRPr="00234D96">
        <w:rPr>
          <w:rFonts w:ascii="Arial" w:hAnsi="Arial" w:cs="Arial"/>
          <w:b/>
          <w:bCs/>
          <w:color w:val="000000"/>
          <w:sz w:val="22"/>
          <w:szCs w:val="22"/>
          <w:lang w:eastAsia="en-GB"/>
        </w:rPr>
        <w:t xml:space="preserve">ASSISTANCE NETWORK </w:t>
      </w:r>
      <w:r w:rsidR="00625BD1">
        <w:rPr>
          <w:rFonts w:ascii="Arial" w:hAnsi="Arial" w:cs="Arial"/>
          <w:b/>
          <w:bCs/>
          <w:color w:val="000000"/>
          <w:sz w:val="22"/>
          <w:szCs w:val="22"/>
          <w:lang w:eastAsia="en-GB"/>
        </w:rPr>
        <w:tab/>
      </w:r>
      <w:r w:rsidR="00625BD1">
        <w:rPr>
          <w:rFonts w:ascii="Arial" w:hAnsi="Arial" w:cs="Arial"/>
          <w:b/>
          <w:bCs/>
          <w:color w:val="000000"/>
          <w:sz w:val="22"/>
          <w:szCs w:val="22"/>
          <w:lang w:eastAsia="en-GB"/>
        </w:rPr>
        <w:tab/>
      </w:r>
      <w:r w:rsidR="00625BD1">
        <w:rPr>
          <w:rFonts w:ascii="Arial" w:hAnsi="Arial" w:cs="Arial"/>
          <w:b/>
          <w:bCs/>
          <w:color w:val="000000"/>
          <w:sz w:val="22"/>
          <w:szCs w:val="22"/>
          <w:lang w:eastAsia="en-GB"/>
        </w:rPr>
        <w:tab/>
      </w:r>
      <w:r w:rsidR="00625BD1">
        <w:rPr>
          <w:rFonts w:ascii="Arial" w:hAnsi="Arial" w:cs="Arial"/>
          <w:b/>
          <w:bCs/>
          <w:color w:val="000000"/>
          <w:sz w:val="22"/>
          <w:szCs w:val="22"/>
          <w:lang w:eastAsia="en-GB"/>
        </w:rPr>
        <w:tab/>
      </w:r>
      <w:r w:rsidR="00625BD1" w:rsidRPr="00625BD1">
        <w:rPr>
          <w:rFonts w:ascii="Arial" w:hAnsi="Arial" w:cs="Arial"/>
          <w:b/>
          <w:bCs/>
          <w:sz w:val="22"/>
          <w:szCs w:val="22"/>
        </w:rPr>
        <w:t>SERVICE (WA) INC</w:t>
      </w:r>
    </w:p>
    <w:p w14:paraId="726E1AC3" w14:textId="42B7C946" w:rsidR="00C90FB0" w:rsidRPr="00625BD1" w:rsidRDefault="00C90FB0" w:rsidP="00234D96">
      <w:pPr>
        <w:spacing w:line="276" w:lineRule="auto"/>
        <w:rPr>
          <w:rFonts w:ascii="Arial" w:hAnsi="Arial" w:cs="Arial"/>
          <w:color w:val="000000"/>
          <w:sz w:val="22"/>
          <w:szCs w:val="22"/>
          <w:lang w:eastAsia="en-GB"/>
        </w:rPr>
      </w:pPr>
      <w:r w:rsidRPr="00234D96">
        <w:rPr>
          <w:rFonts w:ascii="Arial" w:hAnsi="Arial" w:cs="Arial"/>
          <w:b/>
          <w:sz w:val="22"/>
          <w:szCs w:val="22"/>
          <w:lang w:val="en-US"/>
        </w:rPr>
        <w:br w:type="page"/>
      </w:r>
    </w:p>
    <w:p w14:paraId="0B986E9A" w14:textId="20A23AE5" w:rsidR="00C90FB0" w:rsidRDefault="00C90FB0" w:rsidP="00092F84">
      <w:pPr>
        <w:keepNext/>
        <w:spacing w:line="276" w:lineRule="auto"/>
        <w:ind w:right="-96"/>
        <w:jc w:val="both"/>
        <w:rPr>
          <w:rFonts w:ascii="Arial" w:hAnsi="Arial" w:cs="Arial"/>
          <w:b/>
          <w:sz w:val="22"/>
          <w:szCs w:val="22"/>
          <w:lang w:val="en-US"/>
        </w:rPr>
      </w:pPr>
      <w:r w:rsidRPr="00625BD1">
        <w:rPr>
          <w:rFonts w:ascii="Arial" w:hAnsi="Arial" w:cs="Arial"/>
          <w:b/>
          <w:sz w:val="28"/>
          <w:szCs w:val="22"/>
          <w:lang w:val="en-US"/>
        </w:rPr>
        <w:t>ABOUT THE CONTRIBUTORS</w:t>
      </w:r>
    </w:p>
    <w:p w14:paraId="0ABA1B8B" w14:textId="1390670E" w:rsidR="00C90FB0" w:rsidRDefault="00C90FB0" w:rsidP="00092F84">
      <w:pPr>
        <w:keepNext/>
        <w:spacing w:line="276" w:lineRule="auto"/>
        <w:ind w:right="-96"/>
        <w:jc w:val="both"/>
        <w:rPr>
          <w:rFonts w:ascii="Arial" w:hAnsi="Arial" w:cs="Arial"/>
          <w:b/>
          <w:sz w:val="22"/>
          <w:szCs w:val="22"/>
          <w:lang w:val="en-US"/>
        </w:rPr>
      </w:pPr>
    </w:p>
    <w:p w14:paraId="120419EB" w14:textId="77777777" w:rsidR="00625BD1" w:rsidRPr="00A562A1" w:rsidRDefault="00625BD1" w:rsidP="00625BD1">
      <w:pPr>
        <w:keepNext/>
        <w:spacing w:line="276" w:lineRule="auto"/>
        <w:ind w:right="-96"/>
        <w:jc w:val="both"/>
        <w:rPr>
          <w:rFonts w:ascii="Arial" w:hAnsi="Arial" w:cs="Arial"/>
          <w:i/>
          <w:sz w:val="22"/>
          <w:szCs w:val="22"/>
          <w:lang w:val="en-US"/>
        </w:rPr>
      </w:pPr>
      <w:r w:rsidRPr="00A562A1">
        <w:rPr>
          <w:rFonts w:ascii="Arial" w:hAnsi="Arial" w:cs="Arial"/>
          <w:i/>
          <w:sz w:val="22"/>
          <w:szCs w:val="22"/>
          <w:lang w:val="en-US"/>
        </w:rPr>
        <w:t>CHOICE</w:t>
      </w:r>
    </w:p>
    <w:p w14:paraId="426309AA" w14:textId="77777777" w:rsidR="00625BD1" w:rsidRPr="00A562A1" w:rsidRDefault="00625BD1" w:rsidP="00625BD1">
      <w:pPr>
        <w:autoSpaceDE w:val="0"/>
        <w:autoSpaceDN w:val="0"/>
        <w:adjustRightInd w:val="0"/>
        <w:spacing w:before="240" w:line="276" w:lineRule="auto"/>
        <w:jc w:val="both"/>
        <w:rPr>
          <w:rFonts w:ascii="Arial" w:hAnsi="Arial" w:cs="Arial"/>
          <w:sz w:val="22"/>
          <w:szCs w:val="22"/>
        </w:rPr>
      </w:pPr>
      <w:r w:rsidRPr="00A562A1">
        <w:rPr>
          <w:rFonts w:ascii="Arial" w:hAnsi="Arial" w:cs="Arial"/>
          <w:sz w:val="22"/>
          <w:szCs w:val="22"/>
        </w:rPr>
        <w:t>Set up by consumers for consumers, CHOICE is the consumer advocate that provides Australians with information and advice, free from commercial bias. By mobilising Australia’s</w:t>
      </w:r>
      <w:r>
        <w:rPr>
          <w:rFonts w:ascii="Arial" w:hAnsi="Arial" w:cs="Arial"/>
          <w:sz w:val="22"/>
          <w:szCs w:val="22"/>
        </w:rPr>
        <w:t xml:space="preserve"> </w:t>
      </w:r>
      <w:r w:rsidRPr="00A562A1">
        <w:rPr>
          <w:rFonts w:ascii="Arial" w:hAnsi="Arial" w:cs="Arial"/>
          <w:sz w:val="22"/>
          <w:szCs w:val="22"/>
        </w:rPr>
        <w:t>largest and loudest consumer movement, CHOICE fights to hold industry and government accountable and achieve real change on the issues that matter most.</w:t>
      </w:r>
    </w:p>
    <w:p w14:paraId="3C7BE472" w14:textId="77777777" w:rsidR="00625BD1" w:rsidRDefault="00625BD1" w:rsidP="009836BA">
      <w:pPr>
        <w:spacing w:line="276" w:lineRule="auto"/>
        <w:ind w:right="-96"/>
        <w:jc w:val="both"/>
        <w:rPr>
          <w:rFonts w:ascii="Arial" w:hAnsi="Arial" w:cs="Arial"/>
          <w:i/>
          <w:sz w:val="22"/>
          <w:szCs w:val="22"/>
        </w:rPr>
      </w:pPr>
    </w:p>
    <w:p w14:paraId="7ED25F5E" w14:textId="390CD609" w:rsidR="009836BA" w:rsidRPr="000E3F64" w:rsidRDefault="009836BA" w:rsidP="009836BA">
      <w:pPr>
        <w:spacing w:line="276" w:lineRule="auto"/>
        <w:ind w:right="-96"/>
        <w:jc w:val="both"/>
        <w:rPr>
          <w:rFonts w:ascii="Arial" w:hAnsi="Arial" w:cs="Arial"/>
          <w:i/>
          <w:sz w:val="22"/>
          <w:szCs w:val="22"/>
        </w:rPr>
      </w:pPr>
      <w:r w:rsidRPr="000E3F64">
        <w:rPr>
          <w:rFonts w:ascii="Arial" w:hAnsi="Arial" w:cs="Arial"/>
          <w:i/>
          <w:sz w:val="22"/>
          <w:szCs w:val="22"/>
        </w:rPr>
        <w:t>Consumer Action Law Centre</w:t>
      </w:r>
    </w:p>
    <w:p w14:paraId="67A1A0D7" w14:textId="77777777" w:rsidR="009836BA" w:rsidRPr="000E3F64" w:rsidRDefault="009836BA" w:rsidP="009836BA">
      <w:pPr>
        <w:spacing w:line="276" w:lineRule="auto"/>
        <w:ind w:right="-96"/>
        <w:jc w:val="both"/>
        <w:rPr>
          <w:rFonts w:ascii="Arial" w:hAnsi="Arial" w:cs="Arial"/>
          <w:sz w:val="22"/>
          <w:szCs w:val="22"/>
        </w:rPr>
      </w:pPr>
    </w:p>
    <w:p w14:paraId="3EA45683" w14:textId="013E5500" w:rsidR="009836BA" w:rsidRDefault="009836BA" w:rsidP="009836BA">
      <w:pPr>
        <w:spacing w:line="276" w:lineRule="auto"/>
        <w:ind w:right="-96"/>
        <w:jc w:val="both"/>
        <w:rPr>
          <w:rFonts w:ascii="Arial" w:hAnsi="Arial" w:cs="Arial"/>
          <w:sz w:val="22"/>
          <w:szCs w:val="22"/>
        </w:rPr>
      </w:pPr>
      <w:r w:rsidRPr="000E3F64">
        <w:rPr>
          <w:rFonts w:ascii="Arial" w:hAnsi="Arial" w:cs="Arial"/>
          <w:sz w:val="22"/>
          <w:szCs w:val="22"/>
        </w:rPr>
        <w:t>Consumer Action Law Centre is an independent, not-for profit consumer organisation based in Melbourne. We work to advance fairness in consumer markets, particularly for disadvantaged and vulnerable consumers, through financial counselling, legal advice and representation, and policy work and campaigns. Delivering assistance services to Victorian consumers, we have a national reach through our deep expertise in consumer law and policy and direct knowledge of the consumer experience of modern markets.</w:t>
      </w:r>
    </w:p>
    <w:p w14:paraId="4F4F997F" w14:textId="409418A4" w:rsidR="00625BD1" w:rsidRDefault="00625BD1" w:rsidP="009836BA">
      <w:pPr>
        <w:spacing w:line="276" w:lineRule="auto"/>
        <w:ind w:right="-96"/>
        <w:jc w:val="both"/>
        <w:rPr>
          <w:rFonts w:ascii="Arial" w:hAnsi="Arial" w:cs="Arial"/>
          <w:sz w:val="22"/>
          <w:szCs w:val="22"/>
        </w:rPr>
      </w:pPr>
    </w:p>
    <w:p w14:paraId="6BDCCB7A" w14:textId="77777777" w:rsidR="00625BD1" w:rsidRPr="0065139C" w:rsidRDefault="00625BD1" w:rsidP="00625BD1">
      <w:pPr>
        <w:pStyle w:val="Heading2"/>
        <w:spacing w:line="276" w:lineRule="auto"/>
        <w:jc w:val="both"/>
        <w:rPr>
          <w:rFonts w:ascii="Arial" w:hAnsi="Arial" w:cs="Arial"/>
          <w:b w:val="0"/>
          <w:i/>
          <w:sz w:val="22"/>
          <w:szCs w:val="22"/>
        </w:rPr>
      </w:pPr>
      <w:bookmarkStart w:id="4" w:name="_Toc462666026"/>
      <w:r w:rsidRPr="0065139C">
        <w:rPr>
          <w:rFonts w:ascii="Arial" w:hAnsi="Arial" w:cs="Arial"/>
          <w:b w:val="0"/>
          <w:i/>
          <w:sz w:val="22"/>
          <w:szCs w:val="22"/>
        </w:rPr>
        <w:t>Consumer Credit Legal Service (WA) Inc</w:t>
      </w:r>
      <w:bookmarkEnd w:id="4"/>
    </w:p>
    <w:p w14:paraId="1076F817" w14:textId="77777777" w:rsidR="00625BD1" w:rsidRPr="0065139C" w:rsidRDefault="00625BD1" w:rsidP="00625BD1">
      <w:pPr>
        <w:spacing w:line="276" w:lineRule="auto"/>
        <w:jc w:val="both"/>
        <w:rPr>
          <w:rFonts w:ascii="Arial" w:hAnsi="Arial" w:cs="Arial"/>
          <w:sz w:val="22"/>
          <w:szCs w:val="22"/>
          <w:lang w:val="en-US" w:eastAsia="en-US"/>
        </w:rPr>
      </w:pPr>
    </w:p>
    <w:p w14:paraId="0C822CD7" w14:textId="3762173D" w:rsidR="00625BD1" w:rsidRPr="00625BD1" w:rsidRDefault="00625BD1" w:rsidP="00625BD1">
      <w:pPr>
        <w:spacing w:line="276" w:lineRule="auto"/>
        <w:jc w:val="both"/>
        <w:rPr>
          <w:rFonts w:ascii="Arial" w:hAnsi="Arial" w:cs="Arial"/>
          <w:sz w:val="22"/>
          <w:szCs w:val="22"/>
          <w:lang w:val="en-US" w:eastAsia="en-US"/>
        </w:rPr>
      </w:pPr>
      <w:r w:rsidRPr="0065139C">
        <w:rPr>
          <w:rFonts w:ascii="Arial" w:hAnsi="Arial" w:cs="Arial"/>
          <w:sz w:val="22"/>
          <w:szCs w:val="22"/>
          <w:lang w:val="en-US" w:eastAsia="en-US"/>
        </w:rPr>
        <w:t xml:space="preserve">Consumer Credit Legal Service (WA) Inc. (CCLSWA) is a not-for-profit charitable organisation </w:t>
      </w:r>
      <w:r w:rsidRPr="00625BD1">
        <w:rPr>
          <w:rFonts w:ascii="Arial" w:hAnsi="Arial" w:cs="Arial"/>
          <w:sz w:val="22"/>
          <w:szCs w:val="22"/>
          <w:lang w:val="en-US" w:eastAsia="en-US"/>
        </w:rPr>
        <w:t>which provides legal advice and representation to consumers in WA in the areas of credit, banking and finance, and consumer law. CCLSWA also takes an active role in community legal education, law reform and policy issues affecting consumers. In the 2015 / 2016 financial year, CCLSWA provided comprehensive legal advice to 1350 clients on 1424 matters.</w:t>
      </w:r>
    </w:p>
    <w:p w14:paraId="66C907F7" w14:textId="4E1D04F2" w:rsidR="00234D96" w:rsidRPr="00625BD1" w:rsidRDefault="00234D96" w:rsidP="009836BA">
      <w:pPr>
        <w:spacing w:line="276" w:lineRule="auto"/>
        <w:ind w:right="-96"/>
        <w:jc w:val="both"/>
        <w:rPr>
          <w:rFonts w:ascii="Arial" w:hAnsi="Arial" w:cs="Arial"/>
          <w:sz w:val="22"/>
          <w:szCs w:val="22"/>
        </w:rPr>
      </w:pPr>
    </w:p>
    <w:p w14:paraId="4A53974C" w14:textId="25B5FE4C" w:rsidR="00234D96" w:rsidRPr="00625BD1" w:rsidRDefault="00234D96" w:rsidP="00625BD1">
      <w:pPr>
        <w:shd w:val="clear" w:color="auto" w:fill="FFFFFF" w:themeFill="background1"/>
        <w:spacing w:line="276" w:lineRule="auto"/>
        <w:ind w:right="-96"/>
        <w:jc w:val="both"/>
        <w:rPr>
          <w:rFonts w:ascii="Arial" w:hAnsi="Arial" w:cs="Arial"/>
          <w:i/>
          <w:sz w:val="22"/>
          <w:szCs w:val="22"/>
        </w:rPr>
      </w:pPr>
      <w:r w:rsidRPr="00625BD1">
        <w:rPr>
          <w:rFonts w:ascii="Arial" w:hAnsi="Arial" w:cs="Arial"/>
          <w:i/>
          <w:sz w:val="22"/>
          <w:szCs w:val="22"/>
        </w:rPr>
        <w:t>Financial &amp; Consumer Rights Council Inc.</w:t>
      </w:r>
    </w:p>
    <w:p w14:paraId="51E9774F" w14:textId="7D44CF12" w:rsidR="00234D96" w:rsidRPr="00625BD1" w:rsidRDefault="00234D96" w:rsidP="00625BD1">
      <w:pPr>
        <w:shd w:val="clear" w:color="auto" w:fill="FFFFFF" w:themeFill="background1"/>
        <w:spacing w:line="276" w:lineRule="auto"/>
        <w:ind w:right="-96"/>
        <w:jc w:val="both"/>
        <w:rPr>
          <w:rFonts w:ascii="Arial" w:hAnsi="Arial" w:cs="Arial"/>
          <w:i/>
          <w:sz w:val="22"/>
          <w:szCs w:val="22"/>
        </w:rPr>
      </w:pPr>
    </w:p>
    <w:p w14:paraId="304C6455" w14:textId="3033E55F" w:rsidR="00625BD1" w:rsidRPr="00625BD1" w:rsidRDefault="00234D96" w:rsidP="00625BD1">
      <w:pPr>
        <w:shd w:val="clear" w:color="auto" w:fill="FFFFFF" w:themeFill="background1"/>
        <w:spacing w:before="75" w:after="300" w:line="276" w:lineRule="auto"/>
        <w:jc w:val="both"/>
        <w:rPr>
          <w:rFonts w:ascii="Arial" w:hAnsi="Arial" w:cs="Arial"/>
          <w:sz w:val="22"/>
          <w:szCs w:val="22"/>
        </w:rPr>
      </w:pPr>
      <w:r w:rsidRPr="00625BD1">
        <w:rPr>
          <w:rFonts w:ascii="Arial" w:hAnsi="Arial" w:cs="Arial"/>
          <w:sz w:val="22"/>
          <w:szCs w:val="22"/>
        </w:rPr>
        <w:t>The Financial and Consumer Rights Council Inc (FCRC) is the peak body and professional association for financial counsellors in Victoria. FCRC provides resources and support to financial counsellors and their agencies who assist vulnerable Victorians experiencing financial difficulty. FCRC works with government, the banking, utilities, debt collection and other stakeholders to improve approaches to financial difficulty for vulnerable consumers.</w:t>
      </w:r>
    </w:p>
    <w:p w14:paraId="6122E8A9" w14:textId="77777777" w:rsidR="00625BD1" w:rsidRPr="00625BD1" w:rsidRDefault="00625BD1" w:rsidP="00625BD1">
      <w:pPr>
        <w:shd w:val="clear" w:color="auto" w:fill="FFFFFF" w:themeFill="background1"/>
        <w:spacing w:line="276" w:lineRule="auto"/>
        <w:ind w:right="-96"/>
        <w:jc w:val="both"/>
        <w:rPr>
          <w:rFonts w:ascii="Arial" w:hAnsi="Arial" w:cs="Arial"/>
          <w:bCs/>
          <w:i/>
          <w:sz w:val="22"/>
          <w:szCs w:val="22"/>
          <w:lang w:val="en-US" w:eastAsia="en-US"/>
        </w:rPr>
      </w:pPr>
      <w:r w:rsidRPr="00625BD1">
        <w:rPr>
          <w:rFonts w:ascii="Arial" w:hAnsi="Arial" w:cs="Arial"/>
          <w:bCs/>
          <w:i/>
          <w:sz w:val="22"/>
          <w:szCs w:val="22"/>
          <w:lang w:val="en-US" w:eastAsia="en-US"/>
        </w:rPr>
        <w:t>Financial Counselling Australia</w:t>
      </w:r>
    </w:p>
    <w:p w14:paraId="13447889" w14:textId="77777777" w:rsidR="00625BD1" w:rsidRPr="00625BD1" w:rsidRDefault="00625BD1" w:rsidP="00625BD1">
      <w:pPr>
        <w:shd w:val="clear" w:color="auto" w:fill="FFFFFF" w:themeFill="background1"/>
        <w:spacing w:line="276" w:lineRule="auto"/>
        <w:ind w:right="-96"/>
        <w:jc w:val="both"/>
        <w:rPr>
          <w:rFonts w:ascii="Arial" w:hAnsi="Arial" w:cs="Arial"/>
          <w:bCs/>
          <w:i/>
          <w:sz w:val="22"/>
          <w:szCs w:val="22"/>
          <w:lang w:val="en-US" w:eastAsia="en-US"/>
        </w:rPr>
      </w:pPr>
    </w:p>
    <w:p w14:paraId="1D608BA0" w14:textId="3EF97CE8" w:rsidR="00625BD1" w:rsidRDefault="00625BD1" w:rsidP="00625BD1">
      <w:pPr>
        <w:shd w:val="clear" w:color="auto" w:fill="FFFFFF" w:themeFill="background1"/>
        <w:spacing w:line="276" w:lineRule="auto"/>
        <w:ind w:right="-96"/>
        <w:jc w:val="both"/>
        <w:rPr>
          <w:rFonts w:ascii="Arial" w:eastAsia="Arial" w:hAnsi="Arial" w:cs="Arial"/>
          <w:sz w:val="22"/>
          <w:szCs w:val="22"/>
        </w:rPr>
      </w:pPr>
      <w:r w:rsidRPr="00625BD1">
        <w:rPr>
          <w:rFonts w:ascii="Arial" w:eastAsia="Arial" w:hAnsi="Arial" w:cs="Arial"/>
          <w:sz w:val="22"/>
          <w:szCs w:val="22"/>
        </w:rPr>
        <w:t>FCA is the peak body for financial counsellors. Financial counsellors provide information, support and advocacy for people in financial difficulty</w:t>
      </w:r>
      <w:r w:rsidRPr="000E3F64">
        <w:rPr>
          <w:rFonts w:ascii="Arial" w:eastAsia="Arial" w:hAnsi="Arial" w:cs="Arial"/>
          <w:sz w:val="22"/>
          <w:szCs w:val="22"/>
        </w:rPr>
        <w:t>. They work in not-for-profit community organisations and their services are free, independent and confidential. FCA is the national voice for the financial counselling profession, providing resources and support for financial counsellors and advocating for people who are financially vulnerable.</w:t>
      </w:r>
    </w:p>
    <w:p w14:paraId="0439B810" w14:textId="77777777" w:rsidR="00625BD1" w:rsidRPr="00625BD1" w:rsidRDefault="00625BD1" w:rsidP="00625BD1">
      <w:pPr>
        <w:shd w:val="clear" w:color="auto" w:fill="FFFFFF" w:themeFill="background1"/>
        <w:spacing w:line="276" w:lineRule="auto"/>
        <w:ind w:right="-96"/>
        <w:jc w:val="both"/>
        <w:rPr>
          <w:rFonts w:ascii="Arial" w:eastAsia="Arial" w:hAnsi="Arial" w:cs="Arial"/>
          <w:sz w:val="22"/>
          <w:szCs w:val="22"/>
        </w:rPr>
      </w:pPr>
    </w:p>
    <w:p w14:paraId="71674886" w14:textId="77777777" w:rsidR="009836BA" w:rsidRPr="00234D96" w:rsidRDefault="009836BA" w:rsidP="00234D96">
      <w:pPr>
        <w:spacing w:line="276" w:lineRule="auto"/>
        <w:ind w:right="-96"/>
        <w:jc w:val="both"/>
        <w:rPr>
          <w:rFonts w:ascii="Arial" w:hAnsi="Arial" w:cs="Arial"/>
          <w:i/>
          <w:sz w:val="22"/>
          <w:szCs w:val="22"/>
        </w:rPr>
      </w:pPr>
      <w:r w:rsidRPr="00234D96">
        <w:rPr>
          <w:rFonts w:ascii="Arial" w:hAnsi="Arial" w:cs="Arial"/>
          <w:i/>
          <w:sz w:val="22"/>
          <w:szCs w:val="22"/>
        </w:rPr>
        <w:t>Financial Rights Legal Centre</w:t>
      </w:r>
    </w:p>
    <w:p w14:paraId="22562847" w14:textId="77777777" w:rsidR="009836BA" w:rsidRPr="00234D96" w:rsidRDefault="009836BA" w:rsidP="00234D96">
      <w:pPr>
        <w:spacing w:line="276" w:lineRule="auto"/>
        <w:ind w:right="-96"/>
        <w:jc w:val="both"/>
        <w:rPr>
          <w:rFonts w:ascii="Arial" w:hAnsi="Arial" w:cs="Arial"/>
          <w:b/>
          <w:bCs/>
          <w:sz w:val="22"/>
          <w:szCs w:val="22"/>
          <w:lang w:val="en-US" w:eastAsia="en-US"/>
        </w:rPr>
      </w:pPr>
    </w:p>
    <w:p w14:paraId="5E53FF56" w14:textId="056550DA" w:rsidR="009836BA" w:rsidRDefault="009836BA" w:rsidP="00234D96">
      <w:pPr>
        <w:spacing w:line="276" w:lineRule="auto"/>
        <w:ind w:right="-96"/>
        <w:jc w:val="both"/>
        <w:rPr>
          <w:rFonts w:ascii="Arial" w:eastAsia="Arial" w:hAnsi="Arial" w:cs="Arial"/>
          <w:sz w:val="22"/>
          <w:szCs w:val="22"/>
        </w:rPr>
      </w:pPr>
      <w:r w:rsidRPr="00234D96">
        <w:rPr>
          <w:rFonts w:ascii="Arial" w:eastAsia="Arial" w:hAnsi="Arial" w:cs="Arial"/>
          <w:sz w:val="22"/>
          <w:szCs w:val="22"/>
        </w:rPr>
        <w:t>Financial Rights is a community legal centre that specialises in helping consumers understand and enforce their financial rights, especially low income</w:t>
      </w:r>
      <w:r w:rsidRPr="000E3F64">
        <w:rPr>
          <w:rFonts w:ascii="Arial" w:eastAsia="Arial" w:hAnsi="Arial" w:cs="Arial"/>
          <w:sz w:val="22"/>
          <w:szCs w:val="22"/>
        </w:rPr>
        <w:t xml:space="preserve"> and otherwise marginalised or vulnerable consumers. We provide free and independent financial counselling, legal advice and representation to individuals about a broad range of financial issues. Financial Rights operates the National Debt Helpline, which helps NSW consumers experiencing financial difficulties. We also operate the Insurance Law Service which provides advice nationally to consumers about insurance claims and debts to insurance companies. Financial Rights took </w:t>
      </w:r>
      <w:r>
        <w:rPr>
          <w:rFonts w:ascii="Arial" w:eastAsia="Arial" w:hAnsi="Arial" w:cs="Arial"/>
          <w:sz w:val="22"/>
          <w:szCs w:val="22"/>
        </w:rPr>
        <w:t>almost</w:t>
      </w:r>
      <w:r w:rsidRPr="000E3F64">
        <w:rPr>
          <w:rFonts w:ascii="Arial" w:eastAsia="Arial" w:hAnsi="Arial" w:cs="Arial"/>
          <w:sz w:val="22"/>
          <w:szCs w:val="22"/>
        </w:rPr>
        <w:t xml:space="preserve"> 25,000 calls for advice or assistance during the 201</w:t>
      </w:r>
      <w:r>
        <w:rPr>
          <w:rFonts w:ascii="Arial" w:eastAsia="Arial" w:hAnsi="Arial" w:cs="Arial"/>
          <w:sz w:val="22"/>
          <w:szCs w:val="22"/>
        </w:rPr>
        <w:t>6</w:t>
      </w:r>
      <w:r w:rsidRPr="000E3F64">
        <w:rPr>
          <w:rFonts w:ascii="Arial" w:eastAsia="Arial" w:hAnsi="Arial" w:cs="Arial"/>
          <w:sz w:val="22"/>
          <w:szCs w:val="22"/>
        </w:rPr>
        <w:t>/201</w:t>
      </w:r>
      <w:r>
        <w:rPr>
          <w:rFonts w:ascii="Arial" w:eastAsia="Arial" w:hAnsi="Arial" w:cs="Arial"/>
          <w:sz w:val="22"/>
          <w:szCs w:val="22"/>
        </w:rPr>
        <w:t>7</w:t>
      </w:r>
      <w:r w:rsidRPr="000E3F64">
        <w:rPr>
          <w:rFonts w:ascii="Arial" w:eastAsia="Arial" w:hAnsi="Arial" w:cs="Arial"/>
          <w:sz w:val="22"/>
          <w:szCs w:val="22"/>
        </w:rPr>
        <w:t xml:space="preserve"> financial year.</w:t>
      </w:r>
    </w:p>
    <w:p w14:paraId="1ADB66F5" w14:textId="6E994D0B" w:rsidR="00625BD1" w:rsidRDefault="00625BD1" w:rsidP="00234D96">
      <w:pPr>
        <w:spacing w:line="276" w:lineRule="auto"/>
        <w:ind w:right="-96"/>
        <w:jc w:val="both"/>
        <w:rPr>
          <w:rFonts w:ascii="Arial" w:eastAsia="Arial" w:hAnsi="Arial" w:cs="Arial"/>
          <w:sz w:val="22"/>
          <w:szCs w:val="22"/>
        </w:rPr>
      </w:pPr>
    </w:p>
    <w:p w14:paraId="44070B74" w14:textId="77777777" w:rsidR="00625BD1" w:rsidRPr="00A562A1" w:rsidRDefault="00625BD1" w:rsidP="00625BD1">
      <w:pPr>
        <w:spacing w:line="276" w:lineRule="auto"/>
        <w:jc w:val="both"/>
        <w:rPr>
          <w:rFonts w:ascii="Arial" w:hAnsi="Arial" w:cs="Arial"/>
          <w:i/>
          <w:color w:val="000000"/>
          <w:sz w:val="22"/>
          <w:szCs w:val="22"/>
          <w:lang w:eastAsia="en-GB"/>
        </w:rPr>
      </w:pPr>
      <w:r w:rsidRPr="00A562A1">
        <w:rPr>
          <w:rFonts w:ascii="Arial" w:hAnsi="Arial" w:cs="Arial"/>
          <w:bCs/>
          <w:i/>
          <w:color w:val="000000"/>
          <w:sz w:val="22"/>
          <w:szCs w:val="22"/>
          <w:lang w:eastAsia="en-GB"/>
        </w:rPr>
        <w:t xml:space="preserve">Indigenous Consumer Assistance Network </w:t>
      </w:r>
    </w:p>
    <w:p w14:paraId="5D4F3F19" w14:textId="77777777" w:rsidR="00625BD1" w:rsidRPr="00234D96" w:rsidRDefault="00625BD1" w:rsidP="00625BD1">
      <w:pPr>
        <w:keepNext/>
        <w:spacing w:line="276" w:lineRule="auto"/>
        <w:ind w:right="-96"/>
        <w:jc w:val="both"/>
        <w:rPr>
          <w:rFonts w:ascii="Arial" w:hAnsi="Arial" w:cs="Arial"/>
          <w:b/>
          <w:sz w:val="22"/>
          <w:szCs w:val="22"/>
          <w:lang w:val="en-US"/>
        </w:rPr>
      </w:pPr>
    </w:p>
    <w:p w14:paraId="443499BE" w14:textId="77777777" w:rsidR="00625BD1" w:rsidRPr="00A562A1" w:rsidRDefault="00625BD1" w:rsidP="00625BD1">
      <w:pPr>
        <w:spacing w:line="276" w:lineRule="auto"/>
        <w:jc w:val="both"/>
        <w:rPr>
          <w:rFonts w:ascii="Arial" w:hAnsi="Arial" w:cs="Arial"/>
          <w:sz w:val="22"/>
          <w:szCs w:val="22"/>
        </w:rPr>
      </w:pPr>
      <w:r w:rsidRPr="00234D96">
        <w:rPr>
          <w:rFonts w:ascii="Arial" w:hAnsi="Arial" w:cs="Arial"/>
          <w:sz w:val="22"/>
          <w:szCs w:val="22"/>
        </w:rPr>
        <w:t>In line with its vision of ‘</w:t>
      </w:r>
      <w:r w:rsidRPr="00234D96">
        <w:rPr>
          <w:rFonts w:ascii="Arial" w:hAnsi="Arial" w:cs="Arial"/>
          <w:i/>
          <w:iCs/>
          <w:sz w:val="22"/>
          <w:szCs w:val="22"/>
        </w:rPr>
        <w:t>Empowering Indigenous Consumers’</w:t>
      </w:r>
      <w:r w:rsidRPr="00234D96">
        <w:rPr>
          <w:rFonts w:ascii="Arial" w:hAnsi="Arial" w:cs="Arial"/>
          <w:sz w:val="22"/>
          <w:szCs w:val="22"/>
        </w:rPr>
        <w:t xml:space="preserve">, the Indigenous Consumer Assistance Network (ICAN) provides financial counselling assistance to alleviate consumer detriment, education to make informed consumer choices and consumer advocacy services to highlight and tackle consumer disadvantage experienced by Indigenous peoples. ICAN is an independent member of the National Indigenous Consumer Strategy - Reference Group that </w:t>
      </w:r>
      <w:r w:rsidRPr="00A562A1">
        <w:rPr>
          <w:rFonts w:ascii="Arial" w:hAnsi="Arial" w:cs="Arial"/>
          <w:sz w:val="22"/>
          <w:szCs w:val="22"/>
        </w:rPr>
        <w:t xml:space="preserve">comprises all territory, state and national consumer protection agencies. </w:t>
      </w:r>
    </w:p>
    <w:p w14:paraId="19D62FEB" w14:textId="501C5A88" w:rsidR="009836BA" w:rsidRDefault="009836BA" w:rsidP="009836BA">
      <w:pPr>
        <w:spacing w:line="276" w:lineRule="auto"/>
        <w:ind w:right="-96"/>
        <w:jc w:val="both"/>
        <w:rPr>
          <w:rFonts w:ascii="Arial" w:eastAsia="Arial" w:hAnsi="Arial" w:cs="Arial"/>
          <w:sz w:val="22"/>
          <w:szCs w:val="22"/>
        </w:rPr>
      </w:pPr>
    </w:p>
    <w:p w14:paraId="1405388D" w14:textId="70C3F75E" w:rsidR="00234D96" w:rsidRDefault="00234D96" w:rsidP="009836BA">
      <w:pPr>
        <w:spacing w:line="276" w:lineRule="auto"/>
        <w:ind w:right="-96"/>
        <w:jc w:val="both"/>
        <w:rPr>
          <w:rFonts w:ascii="Arial" w:eastAsia="Arial" w:hAnsi="Arial" w:cs="Arial"/>
          <w:i/>
          <w:sz w:val="22"/>
          <w:szCs w:val="22"/>
        </w:rPr>
      </w:pPr>
      <w:r>
        <w:rPr>
          <w:rFonts w:ascii="Arial" w:eastAsia="Arial" w:hAnsi="Arial" w:cs="Arial"/>
          <w:i/>
          <w:sz w:val="22"/>
          <w:szCs w:val="22"/>
        </w:rPr>
        <w:t>Uniting Church in Australia</w:t>
      </w:r>
    </w:p>
    <w:p w14:paraId="28F5B807" w14:textId="0E937BA7" w:rsidR="00234D96" w:rsidRDefault="00234D96" w:rsidP="009836BA">
      <w:pPr>
        <w:spacing w:line="276" w:lineRule="auto"/>
        <w:ind w:right="-96"/>
        <w:jc w:val="both"/>
        <w:rPr>
          <w:rFonts w:ascii="Arial" w:eastAsia="Arial" w:hAnsi="Arial" w:cs="Arial"/>
          <w:i/>
          <w:sz w:val="22"/>
          <w:szCs w:val="22"/>
        </w:rPr>
      </w:pPr>
    </w:p>
    <w:p w14:paraId="53A0E13C" w14:textId="686B2BC9" w:rsidR="0065139C" w:rsidRPr="00625BD1" w:rsidRDefault="00234D96" w:rsidP="00625BD1">
      <w:pPr>
        <w:spacing w:line="276" w:lineRule="auto"/>
        <w:jc w:val="both"/>
        <w:rPr>
          <w:rFonts w:ascii="Arial" w:hAnsi="Arial" w:cs="Arial"/>
          <w:sz w:val="22"/>
          <w:szCs w:val="22"/>
        </w:rPr>
      </w:pPr>
      <w:r w:rsidRPr="00234D96">
        <w:rPr>
          <w:rFonts w:ascii="Arial" w:hAnsi="Arial" w:cs="Arial"/>
          <w:sz w:val="22"/>
          <w:szCs w:val="22"/>
        </w:rPr>
        <w:t>The Uniting Church is the third largest Christian denomination in Australia and the first church to be created in and of Australia. The Uniting Church in Australia sees as part of its mission to act with God alongside the oppressed, the hurt and the poor. The Uniting Church in Australia, Synod of Victoria and Tasmania, has a number of community service agencies that provide financial counselling services. It also incorporates UCA Funds Management which currently excludes payday lending and some consumer leasing businesses from investment under the Synod’s Ethical Investment Policy.</w:t>
      </w:r>
    </w:p>
    <w:sectPr w:rsidR="0065139C" w:rsidRPr="00625BD1" w:rsidSect="00443F58">
      <w:headerReference w:type="even" r:id="rId30"/>
      <w:headerReference w:type="default" r:id="rId31"/>
      <w:footerReference w:type="even" r:id="rId32"/>
      <w:footerReference w:type="default" r:id="rId33"/>
      <w:headerReference w:type="first" r:id="rId34"/>
      <w:footerReference w:type="first" r:id="rId35"/>
      <w:pgSz w:w="11906" w:h="16838"/>
      <w:pgMar w:top="1440" w:right="1416" w:bottom="1440" w:left="1134" w:header="709" w:footer="4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71B61" w14:textId="77777777" w:rsidR="00E17F76" w:rsidRDefault="00E17F76">
      <w:r>
        <w:separator/>
      </w:r>
    </w:p>
  </w:endnote>
  <w:endnote w:type="continuationSeparator" w:id="0">
    <w:p w14:paraId="70337EBE" w14:textId="77777777" w:rsidR="00E17F76" w:rsidRDefault="00E17F76">
      <w:r>
        <w:continuationSeparator/>
      </w:r>
    </w:p>
  </w:endnote>
  <w:endnote w:type="continuationNotice" w:id="1">
    <w:p w14:paraId="40343E5F" w14:textId="77777777" w:rsidR="00E17F76" w:rsidRDefault="00E17F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tag Sans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25E1F" w14:textId="77777777" w:rsidR="008A7C4F" w:rsidRDefault="008A7C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C3713" w14:textId="7BBBA525" w:rsidR="008A7C4F" w:rsidRPr="000E7C5D" w:rsidRDefault="008A7C4F">
    <w:pPr>
      <w:pStyle w:val="Footer"/>
      <w:jc w:val="right"/>
      <w:rPr>
        <w:rFonts w:ascii="Arial" w:hAnsi="Arial" w:cs="Arial"/>
        <w:sz w:val="22"/>
        <w:szCs w:val="22"/>
      </w:rPr>
    </w:pPr>
    <w:r w:rsidRPr="000E7C5D">
      <w:rPr>
        <w:rFonts w:ascii="Arial" w:hAnsi="Arial" w:cs="Arial"/>
        <w:sz w:val="22"/>
        <w:szCs w:val="22"/>
      </w:rPr>
      <w:fldChar w:fldCharType="begin"/>
    </w:r>
    <w:r w:rsidRPr="000E7C5D">
      <w:rPr>
        <w:rFonts w:ascii="Arial" w:hAnsi="Arial" w:cs="Arial"/>
        <w:sz w:val="22"/>
        <w:szCs w:val="22"/>
      </w:rPr>
      <w:instrText xml:space="preserve"> PAGE   \* MERGEFORMAT </w:instrText>
    </w:r>
    <w:r w:rsidRPr="000E7C5D">
      <w:rPr>
        <w:rFonts w:ascii="Arial" w:hAnsi="Arial" w:cs="Arial"/>
        <w:sz w:val="22"/>
        <w:szCs w:val="22"/>
      </w:rPr>
      <w:fldChar w:fldCharType="separate"/>
    </w:r>
    <w:r w:rsidR="00D346C0">
      <w:rPr>
        <w:rFonts w:ascii="Arial" w:hAnsi="Arial" w:cs="Arial"/>
        <w:noProof/>
        <w:sz w:val="22"/>
        <w:szCs w:val="22"/>
      </w:rPr>
      <w:t>2</w:t>
    </w:r>
    <w:r w:rsidRPr="000E7C5D">
      <w:rPr>
        <w:rFonts w:ascii="Arial" w:hAnsi="Arial" w:cs="Arial"/>
        <w:sz w:val="22"/>
        <w:szCs w:val="22"/>
      </w:rPr>
      <w:fldChar w:fldCharType="end"/>
    </w:r>
  </w:p>
  <w:p w14:paraId="63A9923E" w14:textId="77777777" w:rsidR="008A7C4F" w:rsidRPr="000E7C5D" w:rsidRDefault="008A7C4F">
    <w:pPr>
      <w:pStyle w:val="Footer"/>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36F2F" w14:textId="77777777" w:rsidR="008A7C4F" w:rsidRPr="00411DCF" w:rsidRDefault="008A7C4F" w:rsidP="00E960FE">
    <w:pPr>
      <w:pStyle w:val="Footer"/>
      <w:tabs>
        <w:tab w:val="clear" w:pos="8306"/>
      </w:tabs>
      <w:rPr>
        <w:rFonts w:ascii="Arial" w:hAnsi="Arial" w:cs="Arial"/>
        <w:b/>
        <w:color w:val="808080"/>
        <w:sz w:val="20"/>
        <w:szCs w:val="20"/>
        <w:lang w:val="en-US"/>
      </w:rPr>
    </w:pPr>
    <w:r w:rsidRPr="00411DCF">
      <w:rPr>
        <w:rFonts w:ascii="Arial" w:hAnsi="Arial" w:cs="Arial"/>
        <w:b/>
        <w:color w:val="808080"/>
        <w:sz w:val="20"/>
        <w:szCs w:val="20"/>
        <w:lang w:val="en-US"/>
      </w:rPr>
      <w:t>Consumer Action Law Centre</w:t>
    </w:r>
  </w:p>
  <w:p w14:paraId="396D160C" w14:textId="246F3FA5" w:rsidR="008A7C4F" w:rsidRPr="00411DCF" w:rsidRDefault="008A7C4F" w:rsidP="00E960FE">
    <w:pPr>
      <w:pStyle w:val="Footer"/>
      <w:tabs>
        <w:tab w:val="clear" w:pos="4153"/>
        <w:tab w:val="clear" w:pos="8306"/>
        <w:tab w:val="left" w:pos="2835"/>
        <w:tab w:val="left" w:pos="3600"/>
        <w:tab w:val="left" w:pos="5954"/>
      </w:tabs>
      <w:ind w:right="-335"/>
      <w:rPr>
        <w:rFonts w:ascii="Arial" w:hAnsi="Arial" w:cs="Arial"/>
        <w:color w:val="808080"/>
        <w:sz w:val="20"/>
        <w:szCs w:val="20"/>
        <w:lang w:val="en-US" w:eastAsia="en-US"/>
      </w:rPr>
    </w:pPr>
    <w:r w:rsidRPr="00411DCF">
      <w:rPr>
        <w:rFonts w:ascii="Arial" w:hAnsi="Arial" w:cs="Arial"/>
        <w:color w:val="808080"/>
        <w:sz w:val="20"/>
        <w:szCs w:val="20"/>
        <w:lang w:val="en-US" w:eastAsia="en-US"/>
      </w:rPr>
      <w:t xml:space="preserve">Level </w:t>
    </w:r>
    <w:r>
      <w:rPr>
        <w:rFonts w:ascii="Arial" w:hAnsi="Arial" w:cs="Arial"/>
        <w:color w:val="808080"/>
        <w:sz w:val="20"/>
        <w:szCs w:val="20"/>
        <w:lang w:val="en-US" w:eastAsia="en-US"/>
      </w:rPr>
      <w:t>6</w:t>
    </w:r>
    <w:r w:rsidRPr="00411DCF">
      <w:rPr>
        <w:rFonts w:ascii="Arial" w:hAnsi="Arial" w:cs="Arial"/>
        <w:color w:val="808080"/>
        <w:sz w:val="20"/>
        <w:szCs w:val="20"/>
        <w:lang w:val="en-US" w:eastAsia="en-US"/>
      </w:rPr>
      <w:t xml:space="preserve">, </w:t>
    </w:r>
    <w:r>
      <w:rPr>
        <w:rFonts w:ascii="Arial" w:hAnsi="Arial" w:cs="Arial"/>
        <w:color w:val="808080"/>
        <w:sz w:val="20"/>
        <w:szCs w:val="20"/>
        <w:lang w:val="en-US" w:eastAsia="en-US"/>
      </w:rPr>
      <w:t>179</w:t>
    </w:r>
    <w:r w:rsidRPr="00411DCF">
      <w:rPr>
        <w:rFonts w:ascii="Arial" w:hAnsi="Arial" w:cs="Arial"/>
        <w:color w:val="808080"/>
        <w:sz w:val="20"/>
        <w:szCs w:val="20"/>
        <w:lang w:val="en-US" w:eastAsia="en-US"/>
      </w:rPr>
      <w:t xml:space="preserve"> </w:t>
    </w:r>
    <w:r>
      <w:rPr>
        <w:rFonts w:ascii="Arial" w:hAnsi="Arial" w:cs="Arial"/>
        <w:color w:val="808080"/>
        <w:sz w:val="20"/>
        <w:szCs w:val="20"/>
        <w:lang w:val="en-US" w:eastAsia="en-US"/>
      </w:rPr>
      <w:t>Queen Street</w:t>
    </w:r>
    <w:r>
      <w:rPr>
        <w:rFonts w:ascii="Arial" w:hAnsi="Arial" w:cs="Arial"/>
        <w:color w:val="808080"/>
        <w:sz w:val="20"/>
        <w:szCs w:val="20"/>
        <w:lang w:val="en-US" w:eastAsia="en-US"/>
      </w:rPr>
      <w:tab/>
      <w:t>Telephone 03 9670 5088</w:t>
    </w:r>
    <w:r>
      <w:rPr>
        <w:rFonts w:ascii="Arial" w:hAnsi="Arial" w:cs="Arial"/>
        <w:color w:val="808080"/>
        <w:sz w:val="20"/>
        <w:szCs w:val="20"/>
        <w:lang w:val="en-US" w:eastAsia="en-US"/>
      </w:rPr>
      <w:tab/>
    </w:r>
    <w:hyperlink r:id="rId1" w:history="1">
      <w:r w:rsidRPr="00411DCF">
        <w:rPr>
          <w:rFonts w:ascii="Arial" w:hAnsi="Arial" w:cs="Arial"/>
          <w:color w:val="808080"/>
          <w:sz w:val="20"/>
          <w:szCs w:val="20"/>
          <w:lang w:val="en-US" w:eastAsia="en-US"/>
        </w:rPr>
        <w:t>info@consumeraction.org.au</w:t>
      </w:r>
    </w:hyperlink>
  </w:p>
  <w:p w14:paraId="28F39823" w14:textId="77777777" w:rsidR="008A7C4F" w:rsidRPr="00411DCF" w:rsidRDefault="008A7C4F" w:rsidP="00E960FE">
    <w:pPr>
      <w:pStyle w:val="Footer"/>
      <w:tabs>
        <w:tab w:val="clear" w:pos="4153"/>
        <w:tab w:val="clear" w:pos="8306"/>
        <w:tab w:val="left" w:pos="2835"/>
        <w:tab w:val="left" w:pos="3600"/>
        <w:tab w:val="left" w:pos="5954"/>
      </w:tabs>
      <w:ind w:right="-335"/>
      <w:rPr>
        <w:rFonts w:ascii="Arial" w:hAnsi="Arial" w:cs="Arial"/>
        <w:color w:val="808080"/>
        <w:sz w:val="20"/>
        <w:szCs w:val="20"/>
        <w:lang w:val="en-US" w:eastAsia="en-US"/>
      </w:rPr>
    </w:pPr>
    <w:r w:rsidRPr="00411DCF">
      <w:rPr>
        <w:rFonts w:ascii="Arial" w:hAnsi="Arial" w:cs="Arial"/>
        <w:color w:val="808080"/>
        <w:sz w:val="20"/>
        <w:szCs w:val="20"/>
        <w:lang w:val="en-US" w:eastAsia="en-US"/>
      </w:rPr>
      <w:t>Melbourne Victoria</w:t>
    </w:r>
    <w:r>
      <w:rPr>
        <w:rFonts w:ascii="Arial" w:hAnsi="Arial" w:cs="Arial"/>
        <w:color w:val="808080"/>
        <w:sz w:val="20"/>
        <w:szCs w:val="20"/>
        <w:lang w:val="en-US" w:eastAsia="en-US"/>
      </w:rPr>
      <w:t xml:space="preserve"> 3000 </w:t>
    </w:r>
    <w:r>
      <w:rPr>
        <w:rFonts w:ascii="Arial" w:hAnsi="Arial" w:cs="Arial"/>
        <w:color w:val="808080"/>
        <w:sz w:val="20"/>
        <w:szCs w:val="20"/>
        <w:lang w:val="en-US" w:eastAsia="en-US"/>
      </w:rPr>
      <w:tab/>
      <w:t xml:space="preserve">Facsimile   </w:t>
    </w:r>
    <w:r w:rsidRPr="00411DCF">
      <w:rPr>
        <w:rFonts w:ascii="Arial" w:hAnsi="Arial" w:cs="Arial"/>
        <w:color w:val="808080"/>
        <w:sz w:val="20"/>
        <w:szCs w:val="20"/>
        <w:lang w:val="en-US" w:eastAsia="en-US"/>
      </w:rPr>
      <w:t>03 9629 6898</w:t>
    </w:r>
    <w:r w:rsidRPr="00411DCF">
      <w:rPr>
        <w:rFonts w:ascii="Arial" w:hAnsi="Arial" w:cs="Arial"/>
        <w:color w:val="808080"/>
        <w:sz w:val="20"/>
        <w:szCs w:val="20"/>
        <w:lang w:val="en-US" w:eastAsia="en-US"/>
      </w:rPr>
      <w:tab/>
      <w:t>www.consumeraction.org.au</w:t>
    </w:r>
  </w:p>
  <w:p w14:paraId="24203F06" w14:textId="77777777" w:rsidR="008A7C4F" w:rsidRPr="00411DCF" w:rsidRDefault="008A7C4F" w:rsidP="00E960FE">
    <w:pPr>
      <w:pStyle w:val="Footer"/>
      <w:tabs>
        <w:tab w:val="clear" w:pos="4153"/>
        <w:tab w:val="clear" w:pos="8306"/>
        <w:tab w:val="left" w:pos="3960"/>
        <w:tab w:val="left" w:pos="5040"/>
        <w:tab w:val="left" w:pos="6840"/>
      </w:tabs>
      <w:rPr>
        <w:rFonts w:ascii="Arial" w:hAnsi="Arial" w:cs="Arial"/>
        <w:color w:val="808080"/>
        <w:sz w:val="20"/>
        <w:szCs w:val="20"/>
        <w:lang w:val="en-US"/>
      </w:rPr>
    </w:pPr>
  </w:p>
  <w:p w14:paraId="041E8786" w14:textId="77777777" w:rsidR="008A7C4F" w:rsidRPr="00411DCF" w:rsidRDefault="008A7C4F" w:rsidP="00E960FE">
    <w:pPr>
      <w:pStyle w:val="Footer"/>
      <w:tabs>
        <w:tab w:val="clear" w:pos="4153"/>
        <w:tab w:val="clear" w:pos="8306"/>
        <w:tab w:val="left" w:pos="3960"/>
        <w:tab w:val="left" w:pos="5040"/>
        <w:tab w:val="left" w:pos="6840"/>
      </w:tabs>
      <w:rPr>
        <w:color w:val="808080"/>
      </w:rPr>
    </w:pPr>
    <w:r w:rsidRPr="00411DCF">
      <w:rPr>
        <w:rFonts w:ascii="Arial" w:hAnsi="Arial" w:cs="Arial"/>
        <w:color w:val="808080"/>
        <w:sz w:val="16"/>
        <w:szCs w:val="16"/>
        <w:lang w:val="en-US"/>
      </w:rPr>
      <w:t>ABN 37 120 056 484    ACN 120 056 484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29D73" w14:textId="77777777" w:rsidR="00E17F76" w:rsidRDefault="00E17F76">
      <w:r>
        <w:separator/>
      </w:r>
    </w:p>
  </w:footnote>
  <w:footnote w:type="continuationSeparator" w:id="0">
    <w:p w14:paraId="5D8FF309" w14:textId="77777777" w:rsidR="00E17F76" w:rsidRDefault="00E17F76">
      <w:r>
        <w:continuationSeparator/>
      </w:r>
    </w:p>
  </w:footnote>
  <w:footnote w:type="continuationNotice" w:id="1">
    <w:p w14:paraId="179C6ECA" w14:textId="77777777" w:rsidR="00E17F76" w:rsidRDefault="00E17F76"/>
  </w:footnote>
  <w:footnote w:id="2">
    <w:p w14:paraId="663B0A9D" w14:textId="012C417A" w:rsidR="008A7C4F" w:rsidRPr="00F90806"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w:t>
      </w:r>
      <w:r w:rsidRPr="008803EF">
        <w:rPr>
          <w:rFonts w:ascii="Arial" w:hAnsi="Arial" w:cs="Arial"/>
          <w:i/>
          <w:sz w:val="18"/>
          <w:szCs w:val="18"/>
        </w:rPr>
        <w:t>National Consumer Credit Protection Amendment (Small Amount Credit Contract and Consumer Lease Reforms) Bill 2017</w:t>
      </w:r>
      <w:r>
        <w:rPr>
          <w:rFonts w:ascii="Arial" w:hAnsi="Arial" w:cs="Arial"/>
          <w:i/>
          <w:sz w:val="18"/>
          <w:szCs w:val="18"/>
        </w:rPr>
        <w:t xml:space="preserve"> </w:t>
      </w:r>
      <w:r>
        <w:rPr>
          <w:rFonts w:ascii="Arial" w:hAnsi="Arial" w:cs="Arial"/>
          <w:sz w:val="18"/>
          <w:szCs w:val="18"/>
        </w:rPr>
        <w:t>(Cth).</w:t>
      </w:r>
    </w:p>
    <w:p w14:paraId="7BB028E5" w14:textId="77777777" w:rsidR="008A7C4F" w:rsidRPr="008803EF" w:rsidRDefault="008A7C4F" w:rsidP="00F90806">
      <w:pPr>
        <w:pStyle w:val="FootnoteText"/>
        <w:rPr>
          <w:rFonts w:ascii="Arial" w:hAnsi="Arial" w:cs="Arial"/>
          <w:i/>
          <w:sz w:val="18"/>
          <w:szCs w:val="18"/>
        </w:rPr>
      </w:pPr>
    </w:p>
  </w:footnote>
  <w:footnote w:id="3">
    <w:p w14:paraId="0AC3DC6F" w14:textId="41323E3F"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w:t>
      </w:r>
      <w:r>
        <w:rPr>
          <w:rFonts w:ascii="Arial" w:hAnsi="Arial" w:cs="Arial"/>
          <w:sz w:val="18"/>
          <w:szCs w:val="18"/>
        </w:rPr>
        <w:t xml:space="preserve">Review of the Small Amount Credit Contract Laws, </w:t>
      </w:r>
      <w:r>
        <w:rPr>
          <w:rFonts w:ascii="Arial" w:hAnsi="Arial" w:cs="Arial"/>
          <w:i/>
          <w:sz w:val="18"/>
          <w:szCs w:val="18"/>
        </w:rPr>
        <w:t xml:space="preserve">Final Report, </w:t>
      </w:r>
      <w:r>
        <w:rPr>
          <w:rFonts w:ascii="Arial" w:hAnsi="Arial" w:cs="Arial"/>
          <w:sz w:val="18"/>
          <w:szCs w:val="18"/>
        </w:rPr>
        <w:t xml:space="preserve">March 2016, p. 3, available at: </w:t>
      </w:r>
      <w:hyperlink r:id="rId1" w:history="1">
        <w:r w:rsidRPr="00201F01">
          <w:rPr>
            <w:rStyle w:val="Hyperlink"/>
            <w:rFonts w:ascii="Arial" w:hAnsi="Arial" w:cs="Arial"/>
            <w:sz w:val="18"/>
            <w:szCs w:val="18"/>
          </w:rPr>
          <w:t>https://static.treasury.gov.au/uploads/sites/1/2017/06/C2016-016_SACC-Final-Report.pdf</w:t>
        </w:r>
      </w:hyperlink>
      <w:r>
        <w:rPr>
          <w:rFonts w:ascii="Arial" w:hAnsi="Arial" w:cs="Arial"/>
          <w:sz w:val="18"/>
          <w:szCs w:val="18"/>
        </w:rPr>
        <w:t xml:space="preserve">. </w:t>
      </w:r>
    </w:p>
  </w:footnote>
  <w:footnote w:id="4">
    <w:p w14:paraId="3D2663A0" w14:textId="37283E24"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w:t>
      </w:r>
      <w:r>
        <w:rPr>
          <w:rFonts w:ascii="Arial" w:hAnsi="Arial" w:cs="Arial"/>
          <w:sz w:val="18"/>
          <w:szCs w:val="18"/>
        </w:rPr>
        <w:t xml:space="preserve">Australian Securities and Investments Commission, </w:t>
      </w:r>
      <w:r>
        <w:rPr>
          <w:rFonts w:ascii="Arial" w:hAnsi="Arial" w:cs="Arial"/>
          <w:i/>
          <w:sz w:val="18"/>
          <w:szCs w:val="18"/>
        </w:rPr>
        <w:t xml:space="preserve">17-243 The Rental Guys refund more than $100,000 to vulnerable consumers, </w:t>
      </w:r>
      <w:r>
        <w:rPr>
          <w:rFonts w:ascii="Arial" w:hAnsi="Arial" w:cs="Arial"/>
          <w:sz w:val="18"/>
          <w:szCs w:val="18"/>
        </w:rPr>
        <w:t xml:space="preserve">20 July 2017, available at: </w:t>
      </w:r>
      <w:hyperlink r:id="rId2" w:history="1">
        <w:r w:rsidRPr="00201F01">
          <w:rPr>
            <w:rStyle w:val="Hyperlink"/>
            <w:rFonts w:ascii="Arial" w:hAnsi="Arial" w:cs="Arial"/>
            <w:sz w:val="18"/>
            <w:szCs w:val="18"/>
          </w:rPr>
          <w:t>http://asic.gov.au/about-asic/media-centre/find-a-media-release/2017-releases/17-243mr-the-rental-guys-refund-more-than-100-000-to-vulnerable-consumers/</w:t>
        </w:r>
      </w:hyperlink>
      <w:r>
        <w:rPr>
          <w:rFonts w:ascii="Arial" w:hAnsi="Arial" w:cs="Arial"/>
          <w:sz w:val="18"/>
          <w:szCs w:val="18"/>
        </w:rPr>
        <w:t xml:space="preserve">. </w:t>
      </w:r>
    </w:p>
  </w:footnote>
  <w:footnote w:id="5">
    <w:p w14:paraId="3C6A5705" w14:textId="01CEF483"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w:t>
      </w:r>
      <w:r>
        <w:rPr>
          <w:rFonts w:ascii="Arial" w:hAnsi="Arial" w:cs="Arial"/>
          <w:sz w:val="18"/>
          <w:szCs w:val="18"/>
        </w:rPr>
        <w:t xml:space="preserve">Australian Securities and Investments Commission, </w:t>
      </w:r>
      <w:r>
        <w:rPr>
          <w:rFonts w:ascii="Arial" w:hAnsi="Arial" w:cs="Arial"/>
          <w:i/>
          <w:sz w:val="18"/>
          <w:szCs w:val="18"/>
        </w:rPr>
        <w:t xml:space="preserve">17-150MR Motor Finance Wizard to pay over $11 million in remediation over responsible lending concerns, </w:t>
      </w:r>
      <w:r>
        <w:rPr>
          <w:rFonts w:ascii="Arial" w:hAnsi="Arial" w:cs="Arial"/>
          <w:sz w:val="18"/>
          <w:szCs w:val="18"/>
        </w:rPr>
        <w:t>24 May 2017, available at:</w:t>
      </w:r>
      <w:r w:rsidRPr="008803EF">
        <w:rPr>
          <w:rFonts w:ascii="Arial" w:hAnsi="Arial" w:cs="Arial"/>
          <w:sz w:val="18"/>
          <w:szCs w:val="18"/>
        </w:rPr>
        <w:t xml:space="preserve"> </w:t>
      </w:r>
      <w:hyperlink r:id="rId3" w:history="1">
        <w:r w:rsidRPr="00201F01">
          <w:rPr>
            <w:rStyle w:val="Hyperlink"/>
            <w:rFonts w:ascii="Arial" w:hAnsi="Arial" w:cs="Arial"/>
            <w:sz w:val="18"/>
            <w:szCs w:val="18"/>
          </w:rPr>
          <w:t>http://asic.gov.au/about-asic/media-centre/find-a-media-release/2017-releases/17-150mr-motor-finance-wizard-to-pay-over-11-million-in-remediation-over-responsible-lending-concerns/</w:t>
        </w:r>
      </w:hyperlink>
      <w:r>
        <w:rPr>
          <w:rFonts w:ascii="Arial" w:hAnsi="Arial" w:cs="Arial"/>
          <w:sz w:val="18"/>
          <w:szCs w:val="18"/>
        </w:rPr>
        <w:t xml:space="preserve">. </w:t>
      </w:r>
    </w:p>
  </w:footnote>
  <w:footnote w:id="6">
    <w:p w14:paraId="2432A0D2" w14:textId="1D690EA4"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w:t>
      </w:r>
      <w:r>
        <w:rPr>
          <w:rFonts w:ascii="Arial" w:hAnsi="Arial" w:cs="Arial"/>
          <w:sz w:val="18"/>
          <w:szCs w:val="18"/>
        </w:rPr>
        <w:t xml:space="preserve">Australian Securities and Investments Commission, </w:t>
      </w:r>
      <w:r>
        <w:rPr>
          <w:rFonts w:ascii="Arial" w:hAnsi="Arial" w:cs="Arial"/>
          <w:i/>
          <w:sz w:val="18"/>
          <w:szCs w:val="18"/>
        </w:rPr>
        <w:t xml:space="preserve">17-343MR ASIC concerns see Good to Go Loans Pty Ltd stop offering loan products, </w:t>
      </w:r>
      <w:r>
        <w:rPr>
          <w:rFonts w:ascii="Arial" w:hAnsi="Arial" w:cs="Arial"/>
          <w:sz w:val="18"/>
          <w:szCs w:val="18"/>
        </w:rPr>
        <w:t>12 October 2017, available at:</w:t>
      </w:r>
      <w:r>
        <w:t xml:space="preserve"> </w:t>
      </w:r>
      <w:hyperlink r:id="rId4" w:history="1">
        <w:r w:rsidRPr="008803EF">
          <w:rPr>
            <w:rStyle w:val="Hyperlink"/>
            <w:rFonts w:ascii="Arial" w:hAnsi="Arial" w:cs="Arial"/>
            <w:sz w:val="18"/>
            <w:szCs w:val="18"/>
          </w:rPr>
          <w:t>http://asic.gov.au/about-asic/media-centre/find-a-media-release/2017-releases/17-343mr-asic-concerns-see-good-to-go-loans-pty-ltd-stop-offering-loan-product/</w:t>
        </w:r>
      </w:hyperlink>
      <w:r>
        <w:rPr>
          <w:rFonts w:ascii="Arial" w:hAnsi="Arial" w:cs="Arial"/>
          <w:sz w:val="18"/>
          <w:szCs w:val="18"/>
        </w:rPr>
        <w:t xml:space="preserve">. See also: </w:t>
      </w:r>
      <w:hyperlink r:id="rId5" w:history="1">
        <w:r w:rsidRPr="008803EF">
          <w:rPr>
            <w:rStyle w:val="Hyperlink"/>
            <w:rFonts w:ascii="Arial" w:hAnsi="Arial" w:cs="Arial"/>
            <w:sz w:val="18"/>
            <w:szCs w:val="18"/>
          </w:rPr>
          <w:t>http://asic.gov.au/about-asic/media-centre/find-a-media-release/2017-releases/17-344mr-asic-concerns-see-web-moneyline-pty-ltd-stop-offering-loan-product/</w:t>
        </w:r>
      </w:hyperlink>
      <w:r>
        <w:rPr>
          <w:rFonts w:ascii="Arial" w:hAnsi="Arial" w:cs="Arial"/>
          <w:sz w:val="18"/>
          <w:szCs w:val="18"/>
        </w:rPr>
        <w:t xml:space="preserve">. </w:t>
      </w:r>
    </w:p>
  </w:footnote>
  <w:footnote w:id="7">
    <w:p w14:paraId="7AFD80B7" w14:textId="70BA0927"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w:t>
      </w:r>
      <w:r>
        <w:rPr>
          <w:rFonts w:ascii="Arial" w:hAnsi="Arial" w:cs="Arial"/>
          <w:sz w:val="18"/>
          <w:szCs w:val="18"/>
        </w:rPr>
        <w:t xml:space="preserve">Australian Securities and Investments Commission, </w:t>
      </w:r>
      <w:r>
        <w:rPr>
          <w:rFonts w:ascii="Arial" w:hAnsi="Arial" w:cs="Arial"/>
          <w:i/>
          <w:sz w:val="18"/>
          <w:szCs w:val="18"/>
        </w:rPr>
        <w:t xml:space="preserve">17-336MR ASIC bans director of unlicensed payday lender, </w:t>
      </w:r>
      <w:r>
        <w:rPr>
          <w:rFonts w:ascii="Arial" w:hAnsi="Arial" w:cs="Arial"/>
          <w:sz w:val="18"/>
          <w:szCs w:val="18"/>
        </w:rPr>
        <w:t xml:space="preserve">6 October 2017, available at: </w:t>
      </w:r>
      <w:hyperlink r:id="rId6" w:history="1">
        <w:r w:rsidRPr="00201F01">
          <w:rPr>
            <w:rStyle w:val="Hyperlink"/>
            <w:rFonts w:ascii="Arial" w:hAnsi="Arial" w:cs="Arial"/>
            <w:sz w:val="18"/>
            <w:szCs w:val="18"/>
          </w:rPr>
          <w:t>http://asic.gov.au/about-asic/media-centre/find-a-media-release/2017-releases/17-336mr-asic-bans-director-of-unlicensed-payday-lender/</w:t>
        </w:r>
      </w:hyperlink>
      <w:r>
        <w:rPr>
          <w:rFonts w:ascii="Arial" w:hAnsi="Arial" w:cs="Arial"/>
          <w:sz w:val="18"/>
          <w:szCs w:val="18"/>
        </w:rPr>
        <w:t xml:space="preserve">. </w:t>
      </w:r>
    </w:p>
  </w:footnote>
  <w:footnote w:id="8">
    <w:p w14:paraId="38896FBF" w14:textId="7C15FFF7"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w:t>
      </w:r>
      <w:r>
        <w:rPr>
          <w:rFonts w:ascii="Arial" w:hAnsi="Arial" w:cs="Arial"/>
          <w:sz w:val="18"/>
          <w:szCs w:val="18"/>
        </w:rPr>
        <w:t xml:space="preserve">Australian Securities and Investments Commission, </w:t>
      </w:r>
      <w:r>
        <w:rPr>
          <w:rFonts w:ascii="Arial" w:hAnsi="Arial" w:cs="Arial"/>
          <w:i/>
          <w:sz w:val="18"/>
          <w:szCs w:val="18"/>
        </w:rPr>
        <w:t xml:space="preserve">17-060MR Payday lenders fined $730,000 for diamond trading ‘sham’, </w:t>
      </w:r>
      <w:r>
        <w:rPr>
          <w:rFonts w:ascii="Arial" w:hAnsi="Arial" w:cs="Arial"/>
          <w:sz w:val="18"/>
          <w:szCs w:val="18"/>
        </w:rPr>
        <w:t xml:space="preserve">10 March 2017, available at: </w:t>
      </w:r>
      <w:hyperlink r:id="rId7" w:history="1">
        <w:r w:rsidRPr="00201F01">
          <w:rPr>
            <w:rStyle w:val="Hyperlink"/>
            <w:rFonts w:ascii="Arial" w:hAnsi="Arial" w:cs="Arial"/>
            <w:sz w:val="18"/>
            <w:szCs w:val="18"/>
          </w:rPr>
          <w:t>http://asic.gov.au/about-asic/media-centre/find-a-media-release/2017-releases/17-060mr-payday-lenders-fined-730-000-for-diamond-trading-sham/</w:t>
        </w:r>
      </w:hyperlink>
      <w:r>
        <w:rPr>
          <w:rFonts w:ascii="Arial" w:hAnsi="Arial" w:cs="Arial"/>
          <w:sz w:val="18"/>
          <w:szCs w:val="18"/>
        </w:rPr>
        <w:t xml:space="preserve">. </w:t>
      </w:r>
    </w:p>
  </w:footnote>
  <w:footnote w:id="9">
    <w:p w14:paraId="38EEA9AE" w14:textId="657F2D94"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w:t>
      </w:r>
      <w:r>
        <w:rPr>
          <w:rFonts w:ascii="Arial" w:hAnsi="Arial" w:cs="Arial"/>
          <w:sz w:val="18"/>
          <w:szCs w:val="18"/>
        </w:rPr>
        <w:t xml:space="preserve">Australian Securities and Investments Commission, </w:t>
      </w:r>
      <w:r>
        <w:rPr>
          <w:rFonts w:ascii="Arial" w:hAnsi="Arial" w:cs="Arial"/>
          <w:i/>
          <w:sz w:val="18"/>
          <w:szCs w:val="18"/>
        </w:rPr>
        <w:t xml:space="preserve">16-403MR ASIC cancels credit licence of Rent to Own Appliances, </w:t>
      </w:r>
      <w:r>
        <w:rPr>
          <w:rFonts w:ascii="Arial" w:hAnsi="Arial" w:cs="Arial"/>
          <w:sz w:val="18"/>
          <w:szCs w:val="18"/>
        </w:rPr>
        <w:t xml:space="preserve">23 November 2016, available at: </w:t>
      </w:r>
      <w:hyperlink r:id="rId8" w:history="1">
        <w:r w:rsidRPr="00201F01">
          <w:rPr>
            <w:rStyle w:val="Hyperlink"/>
            <w:rFonts w:ascii="Arial" w:hAnsi="Arial" w:cs="Arial"/>
            <w:sz w:val="18"/>
            <w:szCs w:val="18"/>
          </w:rPr>
          <w:t>http://asic.gov.au/about-asic/media-centre/find-a-media-release/2016-releases/16-403mr-asic-cancels-credit-licence-of-rent-to-own-appliances/</w:t>
        </w:r>
      </w:hyperlink>
      <w:r>
        <w:rPr>
          <w:rFonts w:ascii="Arial" w:hAnsi="Arial" w:cs="Arial"/>
          <w:sz w:val="18"/>
          <w:szCs w:val="18"/>
        </w:rPr>
        <w:t xml:space="preserve">. </w:t>
      </w:r>
    </w:p>
  </w:footnote>
  <w:footnote w:id="10">
    <w:p w14:paraId="624F7016" w14:textId="78D948B1"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w:t>
      </w:r>
      <w:r>
        <w:rPr>
          <w:rFonts w:ascii="Arial" w:hAnsi="Arial" w:cs="Arial"/>
          <w:sz w:val="18"/>
          <w:szCs w:val="18"/>
        </w:rPr>
        <w:t xml:space="preserve">Credit and Investments Ombudsman, </w:t>
      </w:r>
      <w:r>
        <w:rPr>
          <w:rFonts w:ascii="Arial" w:hAnsi="Arial" w:cs="Arial"/>
          <w:i/>
          <w:sz w:val="18"/>
          <w:szCs w:val="18"/>
        </w:rPr>
        <w:t xml:space="preserve">Annual Report on Operations 2016/17, </w:t>
      </w:r>
      <w:r>
        <w:rPr>
          <w:rFonts w:ascii="Arial" w:hAnsi="Arial" w:cs="Arial"/>
          <w:sz w:val="18"/>
          <w:szCs w:val="18"/>
        </w:rPr>
        <w:t xml:space="preserve">October 2017, p. 35, available at: </w:t>
      </w:r>
      <w:r w:rsidRPr="008803EF">
        <w:rPr>
          <w:rFonts w:ascii="Arial" w:hAnsi="Arial" w:cs="Arial"/>
          <w:sz w:val="18"/>
          <w:szCs w:val="18"/>
        </w:rPr>
        <w:t xml:space="preserve"> </w:t>
      </w:r>
      <w:hyperlink r:id="rId9" w:history="1">
        <w:r w:rsidRPr="00201F01">
          <w:rPr>
            <w:rStyle w:val="Hyperlink"/>
            <w:rFonts w:ascii="Arial" w:hAnsi="Arial" w:cs="Arial"/>
            <w:sz w:val="18"/>
            <w:szCs w:val="18"/>
          </w:rPr>
          <w:t>https://www.cio.org.au/assets/4130557/CIO%202017%20Annual%20Report%20on%20Operations.pdf</w:t>
        </w:r>
      </w:hyperlink>
      <w:r>
        <w:rPr>
          <w:rFonts w:ascii="Arial" w:hAnsi="Arial" w:cs="Arial"/>
          <w:sz w:val="18"/>
          <w:szCs w:val="18"/>
        </w:rPr>
        <w:t xml:space="preserve">. </w:t>
      </w:r>
    </w:p>
  </w:footnote>
  <w:footnote w:id="11">
    <w:p w14:paraId="164A0203" w14:textId="05614EEF"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w:t>
      </w:r>
      <w:r>
        <w:rPr>
          <w:rFonts w:ascii="Arial" w:hAnsi="Arial" w:cs="Arial"/>
          <w:sz w:val="18"/>
          <w:szCs w:val="18"/>
        </w:rPr>
        <w:t>Ibid p. 71.</w:t>
      </w:r>
    </w:p>
  </w:footnote>
  <w:footnote w:id="12">
    <w:p w14:paraId="634D8A8C" w14:textId="5336CDB0"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w:t>
      </w:r>
      <w:r>
        <w:rPr>
          <w:rFonts w:ascii="Arial" w:hAnsi="Arial" w:cs="Arial"/>
          <w:sz w:val="18"/>
          <w:szCs w:val="18"/>
        </w:rPr>
        <w:t xml:space="preserve">National Credit Providers Association, CoreData Small Amount Credit Contract Research, December 2016, available at: </w:t>
      </w:r>
      <w:hyperlink r:id="rId10" w:history="1">
        <w:r w:rsidRPr="008803EF">
          <w:rPr>
            <w:rStyle w:val="Hyperlink"/>
            <w:rFonts w:ascii="Arial" w:hAnsi="Arial" w:cs="Arial"/>
            <w:sz w:val="18"/>
            <w:szCs w:val="18"/>
          </w:rPr>
          <w:t>http://www.ncpa.net.au/assets/reports/2017/Core%20Data%20SACC%20Report%20Dec%202016.pdf</w:t>
        </w:r>
      </w:hyperlink>
      <w:r>
        <w:rPr>
          <w:rFonts w:ascii="Arial" w:hAnsi="Arial" w:cs="Arial"/>
          <w:sz w:val="18"/>
          <w:szCs w:val="18"/>
        </w:rPr>
        <w:t xml:space="preserve">. We note the most recent CoreData research is not available to the public on NCPA’s website as at 3 November 2017. </w:t>
      </w:r>
    </w:p>
  </w:footnote>
  <w:footnote w:id="13">
    <w:p w14:paraId="3DCD7142" w14:textId="59B55BFF"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Pr>
          <w:rFonts w:ascii="Arial" w:hAnsi="Arial" w:cs="Arial"/>
          <w:sz w:val="18"/>
          <w:szCs w:val="18"/>
        </w:rPr>
        <w:t xml:space="preserve"> National Credit Providers Association, </w:t>
      </w:r>
      <w:r>
        <w:rPr>
          <w:rFonts w:ascii="Arial" w:hAnsi="Arial" w:cs="Arial"/>
          <w:i/>
          <w:sz w:val="18"/>
          <w:szCs w:val="18"/>
        </w:rPr>
        <w:t xml:space="preserve">Submission to the Review of the Small Amount Credit Contract Laws, </w:t>
      </w:r>
      <w:r>
        <w:rPr>
          <w:rFonts w:ascii="Arial" w:hAnsi="Arial" w:cs="Arial"/>
          <w:sz w:val="18"/>
          <w:szCs w:val="18"/>
        </w:rPr>
        <w:t xml:space="preserve">15 October 2015, p. 15, available at: </w:t>
      </w:r>
      <w:hyperlink r:id="rId11" w:history="1">
        <w:r w:rsidRPr="00201F01">
          <w:rPr>
            <w:rStyle w:val="Hyperlink"/>
            <w:rFonts w:ascii="Arial" w:hAnsi="Arial" w:cs="Arial"/>
            <w:sz w:val="18"/>
            <w:szCs w:val="18"/>
          </w:rPr>
          <w:t>http://www.ncpa.net.au/assets/submissions/2015/NCPA%20Submission%20to%20SACC%20Review%20October%202015%20-%20FINAL.PDF</w:t>
        </w:r>
      </w:hyperlink>
      <w:r>
        <w:rPr>
          <w:rFonts w:ascii="Arial" w:hAnsi="Arial" w:cs="Arial"/>
          <w:sz w:val="18"/>
          <w:szCs w:val="18"/>
        </w:rPr>
        <w:t>.</w:t>
      </w:r>
    </w:p>
  </w:footnote>
  <w:footnote w:id="14">
    <w:p w14:paraId="000A2A08" w14:textId="36D9D7D3"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w:t>
      </w:r>
      <w:r w:rsidRPr="008C0570">
        <w:rPr>
          <w:rFonts w:ascii="Arial" w:hAnsi="Arial" w:cs="Arial"/>
          <w:i/>
          <w:sz w:val="18"/>
          <w:szCs w:val="18"/>
        </w:rPr>
        <w:t>National Consumer Credit Protection Act 2009</w:t>
      </w:r>
      <w:r>
        <w:rPr>
          <w:rFonts w:ascii="Arial" w:hAnsi="Arial" w:cs="Arial"/>
          <w:sz w:val="18"/>
          <w:szCs w:val="18"/>
        </w:rPr>
        <w:t xml:space="preserve"> (Cth) s131(3A).</w:t>
      </w:r>
    </w:p>
  </w:footnote>
  <w:footnote w:id="15">
    <w:p w14:paraId="22F544BB" w14:textId="65649300"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w:t>
      </w:r>
      <w:r>
        <w:rPr>
          <w:rFonts w:ascii="Arial" w:hAnsi="Arial" w:cs="Arial"/>
          <w:sz w:val="18"/>
          <w:szCs w:val="18"/>
        </w:rPr>
        <w:t xml:space="preserve">National Credit Providers Association, CoreData Small Amount Credit Contract Research, December 2016, available at: </w:t>
      </w:r>
      <w:hyperlink r:id="rId12" w:history="1">
        <w:r w:rsidRPr="008803EF">
          <w:rPr>
            <w:rStyle w:val="Hyperlink"/>
            <w:rFonts w:ascii="Arial" w:hAnsi="Arial" w:cs="Arial"/>
            <w:sz w:val="18"/>
            <w:szCs w:val="18"/>
          </w:rPr>
          <w:t>http://www.ncpa.net.au/assets/reports/2017/Core%20Data%20SACC%20Report%20Dec%202016.pdf</w:t>
        </w:r>
      </w:hyperlink>
      <w:r>
        <w:rPr>
          <w:rFonts w:ascii="Arial" w:hAnsi="Arial" w:cs="Arial"/>
          <w:sz w:val="18"/>
          <w:szCs w:val="18"/>
        </w:rPr>
        <w:t>.</w:t>
      </w:r>
    </w:p>
  </w:footnote>
  <w:footnote w:id="16">
    <w:p w14:paraId="365A81CA" w14:textId="77777777"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Comparison rate calculations completed using RiCalc software assuming maximum permitted fees and charges, and fortnightly repayments. 190.2% comparison rate calculated using a 134 day loan of $770 with total repayments of $1078. </w:t>
      </w:r>
    </w:p>
  </w:footnote>
  <w:footnote w:id="17">
    <w:p w14:paraId="054A82F0" w14:textId="2211FAA6"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w:t>
      </w:r>
      <w:r>
        <w:rPr>
          <w:rFonts w:ascii="Arial" w:hAnsi="Arial" w:cs="Arial"/>
          <w:sz w:val="18"/>
          <w:szCs w:val="18"/>
        </w:rPr>
        <w:t xml:space="preserve">Financial Conduct Authority, </w:t>
      </w:r>
      <w:r>
        <w:rPr>
          <w:rFonts w:ascii="Arial" w:hAnsi="Arial" w:cs="Arial"/>
          <w:i/>
          <w:sz w:val="18"/>
          <w:szCs w:val="18"/>
        </w:rPr>
        <w:t xml:space="preserve">High-cost credit including review of the high-cost short-term credit price cap – Feedback Statement FS17/2, </w:t>
      </w:r>
      <w:r>
        <w:rPr>
          <w:rFonts w:ascii="Arial" w:hAnsi="Arial" w:cs="Arial"/>
          <w:sz w:val="18"/>
          <w:szCs w:val="18"/>
        </w:rPr>
        <w:t xml:space="preserve">July 2017, available at: </w:t>
      </w:r>
      <w:hyperlink r:id="rId13" w:history="1">
        <w:r w:rsidRPr="008803EF">
          <w:rPr>
            <w:rStyle w:val="Hyperlink"/>
            <w:rFonts w:ascii="Arial" w:hAnsi="Arial" w:cs="Arial"/>
            <w:sz w:val="18"/>
            <w:szCs w:val="18"/>
          </w:rPr>
          <w:t>https://www.fca.org.uk/publication/feedback/fs17-02.pdf</w:t>
        </w:r>
      </w:hyperlink>
      <w:r w:rsidRPr="008803EF">
        <w:rPr>
          <w:rFonts w:ascii="Arial" w:hAnsi="Arial" w:cs="Arial"/>
          <w:sz w:val="18"/>
          <w:szCs w:val="18"/>
        </w:rPr>
        <w:t xml:space="preserve">. </w:t>
      </w:r>
    </w:p>
  </w:footnote>
  <w:footnote w:id="18">
    <w:p w14:paraId="18D9B531" w14:textId="33BB5A52"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See</w:t>
      </w:r>
      <w:r w:rsidRPr="008A7C4F">
        <w:rPr>
          <w:rFonts w:ascii="Arial" w:hAnsi="Arial" w:cs="Arial"/>
          <w:sz w:val="18"/>
          <w:szCs w:val="18"/>
        </w:rPr>
        <w:t xml:space="preserve"> s5(1) and </w:t>
      </w:r>
      <w:r w:rsidRPr="008A7C4F">
        <w:rPr>
          <w:rFonts w:ascii="Arial" w:hAnsi="Arial" w:cs="Arial"/>
          <w:i/>
          <w:sz w:val="18"/>
          <w:szCs w:val="18"/>
        </w:rPr>
        <w:t>National Credit Code</w:t>
      </w:r>
      <w:r w:rsidRPr="008A7C4F">
        <w:rPr>
          <w:rFonts w:ascii="Arial" w:hAnsi="Arial" w:cs="Arial"/>
          <w:sz w:val="18"/>
          <w:szCs w:val="18"/>
        </w:rPr>
        <w:t xml:space="preserve"> s204.</w:t>
      </w:r>
    </w:p>
  </w:footnote>
  <w:footnote w:id="19">
    <w:p w14:paraId="4D7CC256" w14:textId="35DA0C90"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Pr>
          <w:rFonts w:ascii="Arial" w:hAnsi="Arial" w:cs="Arial"/>
          <w:sz w:val="18"/>
          <w:szCs w:val="18"/>
        </w:rPr>
        <w:t xml:space="preserve"> Consumer Action Law Centre, </w:t>
      </w:r>
      <w:r w:rsidRPr="008A7C4F">
        <w:rPr>
          <w:rFonts w:ascii="Arial" w:hAnsi="Arial" w:cs="Arial"/>
          <w:i/>
          <w:sz w:val="18"/>
          <w:szCs w:val="18"/>
        </w:rPr>
        <w:t>Motor Finance Wizard - general information</w:t>
      </w:r>
      <w:r w:rsidRPr="008803EF">
        <w:rPr>
          <w:rFonts w:ascii="Arial" w:hAnsi="Arial" w:cs="Arial"/>
          <w:sz w:val="18"/>
          <w:szCs w:val="18"/>
        </w:rPr>
        <w:t xml:space="preserve">, 27 September 2012, available at: </w:t>
      </w:r>
      <w:hyperlink r:id="rId14" w:history="1">
        <w:r w:rsidRPr="00201F01">
          <w:rPr>
            <w:rStyle w:val="Hyperlink"/>
            <w:rFonts w:ascii="Arial" w:hAnsi="Arial" w:cs="Arial"/>
            <w:sz w:val="18"/>
            <w:szCs w:val="18"/>
          </w:rPr>
          <w:t>http://consumeraction.org.au/motor-finance-wizard-general-information/</w:t>
        </w:r>
      </w:hyperlink>
      <w:r>
        <w:rPr>
          <w:rFonts w:ascii="Arial" w:hAnsi="Arial" w:cs="Arial"/>
          <w:sz w:val="18"/>
          <w:szCs w:val="18"/>
        </w:rPr>
        <w:t xml:space="preserve">. </w:t>
      </w:r>
      <w:r w:rsidRPr="008803EF">
        <w:rPr>
          <w:rFonts w:ascii="Arial" w:hAnsi="Arial" w:cs="Arial"/>
          <w:sz w:val="18"/>
          <w:szCs w:val="18"/>
        </w:rPr>
        <w:t xml:space="preserve">  </w:t>
      </w:r>
    </w:p>
  </w:footnote>
  <w:footnote w:id="20">
    <w:p w14:paraId="3D8D0676" w14:textId="239A252B"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Pr>
          <w:rFonts w:ascii="Arial" w:hAnsi="Arial" w:cs="Arial"/>
          <w:sz w:val="18"/>
          <w:szCs w:val="18"/>
        </w:rPr>
        <w:t xml:space="preserve"> Consumer Action Law Centre, </w:t>
      </w:r>
      <w:r w:rsidRPr="008A7C4F">
        <w:rPr>
          <w:rFonts w:ascii="Arial" w:hAnsi="Arial" w:cs="Arial"/>
          <w:i/>
          <w:sz w:val="18"/>
          <w:szCs w:val="18"/>
        </w:rPr>
        <w:t>ASIC raises concerns about Carboodle’s potentially misleading representations</w:t>
      </w:r>
      <w:r w:rsidRPr="008803EF">
        <w:rPr>
          <w:rFonts w:ascii="Arial" w:hAnsi="Arial" w:cs="Arial"/>
          <w:sz w:val="18"/>
          <w:szCs w:val="18"/>
        </w:rPr>
        <w:t xml:space="preserve">, 9 April 2013, available at: </w:t>
      </w:r>
      <w:hyperlink r:id="rId15" w:history="1">
        <w:r w:rsidRPr="00201F01">
          <w:rPr>
            <w:rStyle w:val="Hyperlink"/>
            <w:rFonts w:ascii="Arial" w:hAnsi="Arial" w:cs="Arial"/>
            <w:sz w:val="18"/>
            <w:szCs w:val="18"/>
          </w:rPr>
          <w:t>http://consumeraction.org.au/asic-raises-concern-about-carboodles-potentially-misleading-representations/</w:t>
        </w:r>
      </w:hyperlink>
      <w:r w:rsidRPr="008803EF">
        <w:rPr>
          <w:rFonts w:ascii="Arial" w:hAnsi="Arial" w:cs="Arial"/>
          <w:sz w:val="18"/>
          <w:szCs w:val="18"/>
        </w:rPr>
        <w:t>.</w:t>
      </w:r>
      <w:r>
        <w:rPr>
          <w:rFonts w:ascii="Arial" w:hAnsi="Arial" w:cs="Arial"/>
          <w:sz w:val="18"/>
          <w:szCs w:val="18"/>
        </w:rPr>
        <w:t xml:space="preserve"> </w:t>
      </w:r>
      <w:r w:rsidRPr="008803EF">
        <w:rPr>
          <w:rFonts w:ascii="Arial" w:hAnsi="Arial" w:cs="Arial"/>
          <w:sz w:val="18"/>
          <w:szCs w:val="18"/>
        </w:rPr>
        <w:t xml:space="preserve"> </w:t>
      </w:r>
      <w:r>
        <w:rPr>
          <w:rFonts w:ascii="Arial" w:hAnsi="Arial" w:cs="Arial"/>
          <w:sz w:val="18"/>
          <w:szCs w:val="18"/>
        </w:rPr>
        <w:t xml:space="preserve"> </w:t>
      </w:r>
      <w:r w:rsidRPr="008803EF">
        <w:rPr>
          <w:rFonts w:ascii="Arial" w:hAnsi="Arial" w:cs="Arial"/>
          <w:sz w:val="18"/>
          <w:szCs w:val="18"/>
        </w:rPr>
        <w:t xml:space="preserve"> </w:t>
      </w:r>
    </w:p>
  </w:footnote>
  <w:footnote w:id="21">
    <w:p w14:paraId="73142269" w14:textId="27EE3161"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w:t>
      </w:r>
      <w:r>
        <w:rPr>
          <w:rFonts w:ascii="Arial" w:hAnsi="Arial" w:cs="Arial"/>
          <w:sz w:val="18"/>
          <w:szCs w:val="18"/>
        </w:rPr>
        <w:t xml:space="preserve">Australian Securities and Investments Commission, </w:t>
      </w:r>
      <w:r>
        <w:rPr>
          <w:rFonts w:ascii="Arial" w:hAnsi="Arial" w:cs="Arial"/>
          <w:i/>
          <w:sz w:val="18"/>
          <w:szCs w:val="18"/>
        </w:rPr>
        <w:t xml:space="preserve">17-150MR Motor Finance Wizard to pay over $11 million in remediation over responsible lending concerns, </w:t>
      </w:r>
      <w:r>
        <w:rPr>
          <w:rFonts w:ascii="Arial" w:hAnsi="Arial" w:cs="Arial"/>
          <w:sz w:val="18"/>
          <w:szCs w:val="18"/>
        </w:rPr>
        <w:t>24 May 2017, available at:</w:t>
      </w:r>
      <w:r w:rsidRPr="008803EF">
        <w:rPr>
          <w:rFonts w:ascii="Arial" w:hAnsi="Arial" w:cs="Arial"/>
          <w:sz w:val="18"/>
          <w:szCs w:val="18"/>
        </w:rPr>
        <w:t xml:space="preserve"> </w:t>
      </w:r>
      <w:hyperlink r:id="rId16" w:history="1">
        <w:r w:rsidRPr="00201F01">
          <w:rPr>
            <w:rStyle w:val="Hyperlink"/>
            <w:rFonts w:ascii="Arial" w:hAnsi="Arial" w:cs="Arial"/>
            <w:sz w:val="18"/>
            <w:szCs w:val="18"/>
          </w:rPr>
          <w:t>http://asic.gov.au/about-asic/media-centre/find-a-media-release/2017-releases/17-150mr-motor-finance-wizard-to-pay-over-11-million-in-remediation-over-responsible-lending-concerns/</w:t>
        </w:r>
      </w:hyperlink>
      <w:r>
        <w:rPr>
          <w:rFonts w:ascii="Arial" w:hAnsi="Arial" w:cs="Arial"/>
          <w:sz w:val="18"/>
          <w:szCs w:val="18"/>
        </w:rPr>
        <w:t xml:space="preserve">. </w:t>
      </w:r>
    </w:p>
  </w:footnote>
  <w:footnote w:id="22">
    <w:p w14:paraId="3864226E" w14:textId="4BAC7A3F"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Se</w:t>
      </w:r>
      <w:r>
        <w:rPr>
          <w:rFonts w:ascii="Arial" w:hAnsi="Arial" w:cs="Arial"/>
          <w:sz w:val="18"/>
          <w:szCs w:val="18"/>
        </w:rPr>
        <w:t>e ss124C(5), 133CG and 133CF(5).</w:t>
      </w:r>
    </w:p>
  </w:footnote>
  <w:footnote w:id="23">
    <w:p w14:paraId="646FF526" w14:textId="43510FB4"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w:t>
      </w:r>
      <w:r>
        <w:rPr>
          <w:rFonts w:ascii="Arial" w:hAnsi="Arial" w:cs="Arial"/>
          <w:i/>
          <w:sz w:val="18"/>
          <w:szCs w:val="18"/>
        </w:rPr>
        <w:t xml:space="preserve">Criminal Code Act 1995 </w:t>
      </w:r>
      <w:r>
        <w:rPr>
          <w:rFonts w:ascii="Arial" w:hAnsi="Arial" w:cs="Arial"/>
          <w:sz w:val="18"/>
          <w:szCs w:val="18"/>
        </w:rPr>
        <w:t xml:space="preserve">(Cth) Schedule – The </w:t>
      </w:r>
      <w:r w:rsidRPr="008803EF">
        <w:rPr>
          <w:rFonts w:ascii="Arial" w:hAnsi="Arial" w:cs="Arial"/>
          <w:sz w:val="18"/>
          <w:szCs w:val="18"/>
        </w:rPr>
        <w:t xml:space="preserve">Criminal Code, Division 5 and </w:t>
      </w:r>
      <w:r>
        <w:rPr>
          <w:rFonts w:ascii="Arial" w:hAnsi="Arial" w:cs="Arial"/>
          <w:sz w:val="18"/>
          <w:szCs w:val="18"/>
        </w:rPr>
        <w:t xml:space="preserve">Attorney-General’s Department, </w:t>
      </w:r>
      <w:r>
        <w:rPr>
          <w:rFonts w:ascii="Arial" w:hAnsi="Arial" w:cs="Arial"/>
          <w:i/>
          <w:sz w:val="18"/>
          <w:szCs w:val="18"/>
        </w:rPr>
        <w:t xml:space="preserve">The Commonweal Criminal Code: A Guide for Practitioners, </w:t>
      </w:r>
      <w:r>
        <w:rPr>
          <w:rFonts w:ascii="Arial" w:hAnsi="Arial" w:cs="Arial"/>
          <w:sz w:val="18"/>
          <w:szCs w:val="18"/>
        </w:rPr>
        <w:t>p.</w:t>
      </w:r>
      <w:r w:rsidRPr="008803EF">
        <w:rPr>
          <w:rFonts w:ascii="Arial" w:hAnsi="Arial" w:cs="Arial"/>
          <w:sz w:val="18"/>
          <w:szCs w:val="18"/>
        </w:rPr>
        <w:t xml:space="preserve"> 49</w:t>
      </w:r>
      <w:r>
        <w:rPr>
          <w:rFonts w:ascii="Arial" w:hAnsi="Arial" w:cs="Arial"/>
          <w:sz w:val="18"/>
          <w:szCs w:val="18"/>
        </w:rPr>
        <w:t xml:space="preserve">, available at: </w:t>
      </w:r>
      <w:r w:rsidRPr="008803EF">
        <w:rPr>
          <w:rFonts w:ascii="Arial" w:hAnsi="Arial" w:cs="Arial"/>
          <w:sz w:val="18"/>
          <w:szCs w:val="18"/>
        </w:rPr>
        <w:t xml:space="preserve"> </w:t>
      </w:r>
      <w:hyperlink r:id="rId17" w:history="1">
        <w:r w:rsidRPr="00201F01">
          <w:rPr>
            <w:rStyle w:val="Hyperlink"/>
            <w:rFonts w:ascii="Arial" w:hAnsi="Arial" w:cs="Arial"/>
            <w:sz w:val="18"/>
            <w:szCs w:val="18"/>
          </w:rPr>
          <w:t>https://www.ag.gov.au/Publications/Documents/GuideforPractitioners.pdf</w:t>
        </w:r>
      </w:hyperlink>
      <w:r>
        <w:rPr>
          <w:rFonts w:ascii="Arial" w:hAnsi="Arial" w:cs="Arial"/>
          <w:sz w:val="18"/>
          <w:szCs w:val="18"/>
        </w:rPr>
        <w:t xml:space="preserve">. </w:t>
      </w:r>
    </w:p>
  </w:footnote>
  <w:footnote w:id="24">
    <w:p w14:paraId="35E91273" w14:textId="4B8191F9"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w:t>
      </w:r>
      <w:r w:rsidRPr="008A7C4F">
        <w:rPr>
          <w:rFonts w:ascii="Arial" w:hAnsi="Arial" w:cs="Arial"/>
          <w:i/>
          <w:sz w:val="18"/>
          <w:szCs w:val="18"/>
        </w:rPr>
        <w:t>Corporations Act 2001</w:t>
      </w:r>
      <w:r>
        <w:rPr>
          <w:rFonts w:ascii="Arial" w:hAnsi="Arial" w:cs="Arial"/>
          <w:sz w:val="18"/>
          <w:szCs w:val="18"/>
        </w:rPr>
        <w:t xml:space="preserve"> (Cth) s 992A.</w:t>
      </w:r>
    </w:p>
  </w:footnote>
  <w:footnote w:id="25">
    <w:p w14:paraId="1C944E69" w14:textId="1031A299"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w:t>
      </w:r>
      <w:r w:rsidRPr="008A7C4F">
        <w:rPr>
          <w:rFonts w:ascii="Arial" w:hAnsi="Arial" w:cs="Arial"/>
          <w:i/>
          <w:sz w:val="18"/>
          <w:szCs w:val="18"/>
        </w:rPr>
        <w:t>Treasury Laws Amendment (Banking Measures No.1) Bill 2017</w:t>
      </w:r>
      <w:r>
        <w:rPr>
          <w:rFonts w:ascii="Arial" w:hAnsi="Arial" w:cs="Arial"/>
          <w:sz w:val="18"/>
          <w:szCs w:val="18"/>
        </w:rPr>
        <w:t xml:space="preserve"> (Cth) Sch 6, Pt 2.</w:t>
      </w:r>
    </w:p>
  </w:footnote>
  <w:footnote w:id="26">
    <w:p w14:paraId="600664BD" w14:textId="5C1BAC16"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See ss120(1A), 132(2A), 143(1A) and 155(2A)</w:t>
      </w:r>
    </w:p>
  </w:footnote>
  <w:footnote w:id="27">
    <w:p w14:paraId="42E38297" w14:textId="6764DBED"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w:t>
      </w:r>
      <w:r>
        <w:rPr>
          <w:rFonts w:ascii="Arial" w:hAnsi="Arial" w:cs="Arial"/>
          <w:sz w:val="18"/>
          <w:szCs w:val="18"/>
        </w:rPr>
        <w:t xml:space="preserve">For example, see Telstra, </w:t>
      </w:r>
      <w:r>
        <w:rPr>
          <w:rFonts w:ascii="Arial" w:hAnsi="Arial" w:cs="Arial"/>
          <w:i/>
          <w:sz w:val="18"/>
          <w:szCs w:val="18"/>
        </w:rPr>
        <w:t xml:space="preserve">Measuring Australia’s Digital Divide, </w:t>
      </w:r>
      <w:r>
        <w:rPr>
          <w:rFonts w:ascii="Arial" w:hAnsi="Arial" w:cs="Arial"/>
          <w:sz w:val="18"/>
          <w:szCs w:val="18"/>
        </w:rPr>
        <w:t xml:space="preserve">2017, </w:t>
      </w:r>
      <w:hyperlink r:id="rId18" w:history="1">
        <w:r w:rsidRPr="00201F01">
          <w:rPr>
            <w:rStyle w:val="Hyperlink"/>
            <w:rFonts w:ascii="Arial" w:hAnsi="Arial" w:cs="Arial"/>
            <w:sz w:val="18"/>
            <w:szCs w:val="18"/>
          </w:rPr>
          <w:t>https://digitalinclusionindex.org.au/wp-content/uploads/2016/08/Australian-Digital-Inclusion-Index-2017.pdf</w:t>
        </w:r>
      </w:hyperlink>
      <w:r>
        <w:rPr>
          <w:rFonts w:ascii="Arial" w:hAnsi="Arial" w:cs="Arial"/>
          <w:sz w:val="18"/>
          <w:szCs w:val="18"/>
        </w:rPr>
        <w:t xml:space="preserve">. </w:t>
      </w:r>
    </w:p>
  </w:footnote>
  <w:footnote w:id="28">
    <w:p w14:paraId="1C8013BA" w14:textId="3BC41906"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See ss133CC, 133CD, 156A, and 156B</w:t>
      </w:r>
    </w:p>
  </w:footnote>
  <w:footnote w:id="29">
    <w:p w14:paraId="3133D93F" w14:textId="5F93FBBE"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Calculated using ATO Gross Pay Estimator with the following assumptions: individual non-business, Australian resident, TFN supplied, claimed Tax Free Threshold, not claiming Medicare levy exemption, no HELP, SSL, TSL or Student Financial Supplement Scheme debt, paid monthly. 20% cap applies only to people receiving the majority of their income from Centrelink: </w:t>
      </w:r>
      <w:hyperlink r:id="rId19" w:history="1">
        <w:r w:rsidRPr="008803EF">
          <w:rPr>
            <w:rStyle w:val="Hyperlink"/>
            <w:rFonts w:ascii="Arial" w:hAnsi="Arial" w:cs="Arial"/>
            <w:sz w:val="18"/>
            <w:szCs w:val="18"/>
          </w:rPr>
          <w:t>https://www.ato.gov.au/Calculators-and-tools/Gross-pay-estimator/</w:t>
        </w:r>
      </w:hyperlink>
      <w:r w:rsidRPr="008803EF">
        <w:rPr>
          <w:rFonts w:ascii="Arial" w:hAnsi="Arial" w:cs="Arial"/>
          <w:sz w:val="18"/>
          <w:szCs w:val="18"/>
        </w:rPr>
        <w:t xml:space="preserve">. </w:t>
      </w:r>
    </w:p>
  </w:footnote>
  <w:footnote w:id="30">
    <w:p w14:paraId="4E858781" w14:textId="2F9AFADA"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w:t>
      </w:r>
      <w:r>
        <w:rPr>
          <w:rFonts w:ascii="Arial" w:hAnsi="Arial" w:cs="Arial"/>
          <w:sz w:val="18"/>
          <w:szCs w:val="18"/>
        </w:rPr>
        <w:t xml:space="preserve">Digital Finance Analytics, </w:t>
      </w:r>
      <w:r>
        <w:rPr>
          <w:rFonts w:ascii="Arial" w:hAnsi="Arial" w:cs="Arial"/>
          <w:i/>
          <w:sz w:val="18"/>
          <w:szCs w:val="18"/>
        </w:rPr>
        <w:t>The Stressed Finance Landscape</w:t>
      </w:r>
      <w:r>
        <w:rPr>
          <w:rFonts w:ascii="Arial" w:hAnsi="Arial" w:cs="Arial"/>
          <w:sz w:val="18"/>
          <w:szCs w:val="18"/>
        </w:rPr>
        <w:t xml:space="preserve">, October 2015, available at: </w:t>
      </w:r>
      <w:hyperlink r:id="rId20" w:history="1">
        <w:r w:rsidRPr="008803EF">
          <w:rPr>
            <w:rStyle w:val="Hyperlink"/>
            <w:rFonts w:ascii="Arial" w:hAnsi="Arial" w:cs="Arial"/>
            <w:sz w:val="18"/>
            <w:szCs w:val="18"/>
          </w:rPr>
          <w:t>http://consumeraction.org.au/wp-content/uploads/2015/10/The-Stressed-Financial-Landscape-Data-Analysis-DFA1.pdf</w:t>
        </w:r>
      </w:hyperlink>
      <w:r>
        <w:rPr>
          <w:rStyle w:val="Hyperlink"/>
          <w:rFonts w:ascii="Arial" w:hAnsi="Arial" w:cs="Arial"/>
          <w:sz w:val="18"/>
          <w:szCs w:val="18"/>
        </w:rPr>
        <w:t>.</w:t>
      </w:r>
      <w:r w:rsidRPr="008803EF">
        <w:rPr>
          <w:rFonts w:ascii="Arial" w:hAnsi="Arial" w:cs="Arial"/>
          <w:sz w:val="18"/>
          <w:szCs w:val="18"/>
        </w:rPr>
        <w:t xml:space="preserve"> </w:t>
      </w:r>
    </w:p>
  </w:footnote>
  <w:footnote w:id="31">
    <w:p w14:paraId="5B429D07" w14:textId="63617300" w:rsidR="008A7C4F" w:rsidRDefault="008A7C4F" w:rsidP="00F90806">
      <w:pPr>
        <w:pStyle w:val="FootnoteText"/>
      </w:pPr>
      <w:r>
        <w:rPr>
          <w:rStyle w:val="FootnoteReference"/>
        </w:rPr>
        <w:footnoteRef/>
      </w:r>
      <w:r>
        <w:t xml:space="preserve"> </w:t>
      </w:r>
      <w:r>
        <w:rPr>
          <w:rFonts w:ascii="Arial" w:hAnsi="Arial" w:cs="Arial"/>
          <w:sz w:val="22"/>
          <w:szCs w:val="22"/>
        </w:rPr>
        <w:t>The relevant provisions have been repealed in the Bill – see Items 5, 7, 13 and 15.</w:t>
      </w:r>
    </w:p>
  </w:footnote>
  <w:footnote w:id="32">
    <w:p w14:paraId="43398355" w14:textId="4A8D8582"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w:t>
      </w:r>
      <w:r>
        <w:rPr>
          <w:rFonts w:ascii="Arial" w:hAnsi="Arial" w:cs="Arial"/>
          <w:sz w:val="18"/>
          <w:szCs w:val="18"/>
        </w:rPr>
        <w:t xml:space="preserve">Review of the Small Amount Credit Contract Laws, </w:t>
      </w:r>
      <w:r>
        <w:rPr>
          <w:rFonts w:ascii="Arial" w:hAnsi="Arial" w:cs="Arial"/>
          <w:i/>
          <w:sz w:val="18"/>
          <w:szCs w:val="18"/>
        </w:rPr>
        <w:t xml:space="preserve">Final Report, </w:t>
      </w:r>
      <w:r>
        <w:rPr>
          <w:rFonts w:ascii="Arial" w:hAnsi="Arial" w:cs="Arial"/>
          <w:sz w:val="18"/>
          <w:szCs w:val="18"/>
        </w:rPr>
        <w:t xml:space="preserve">March 2016, available at: </w:t>
      </w:r>
      <w:hyperlink r:id="rId21" w:history="1">
        <w:r w:rsidRPr="00201F01">
          <w:rPr>
            <w:rStyle w:val="Hyperlink"/>
            <w:rFonts w:ascii="Arial" w:hAnsi="Arial" w:cs="Arial"/>
            <w:sz w:val="18"/>
            <w:szCs w:val="18"/>
          </w:rPr>
          <w:t>https://static.treasury.gov.au/uploads/sites/1/2017/06/C2016-016_SACC-Final-Report.pdf</w:t>
        </w:r>
      </w:hyperlink>
      <w:r>
        <w:rPr>
          <w:rFonts w:ascii="Arial" w:hAnsi="Arial" w:cs="Arial"/>
          <w:sz w:val="18"/>
          <w:szCs w:val="18"/>
        </w:rPr>
        <w:t>.</w:t>
      </w:r>
    </w:p>
  </w:footnote>
  <w:footnote w:id="33">
    <w:p w14:paraId="52410748" w14:textId="002AC958" w:rsidR="008A7C4F" w:rsidRPr="008803EF" w:rsidRDefault="008A7C4F" w:rsidP="00F90806">
      <w:pPr>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See ss 133CC(3), 133CD(3), 133CE, 133CG, 156A(3), 156B(3), 31C(2), 175AB(2), 175AC and 179VB.</w:t>
      </w:r>
    </w:p>
  </w:footnote>
  <w:footnote w:id="34">
    <w:p w14:paraId="6299E078" w14:textId="685A4FA6"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w:t>
      </w:r>
      <w:r w:rsidRPr="008A7C4F">
        <w:rPr>
          <w:rFonts w:ascii="Arial" w:hAnsi="Arial" w:cs="Arial"/>
          <w:i/>
          <w:sz w:val="18"/>
          <w:szCs w:val="18"/>
        </w:rPr>
        <w:t>Competition and Consumer Act 2010</w:t>
      </w:r>
      <w:r>
        <w:rPr>
          <w:rFonts w:ascii="Arial" w:hAnsi="Arial" w:cs="Arial"/>
          <w:sz w:val="18"/>
          <w:szCs w:val="18"/>
        </w:rPr>
        <w:t xml:space="preserve"> (Cth) Schedule </w:t>
      </w:r>
      <w:r w:rsidR="00D047B0">
        <w:rPr>
          <w:rFonts w:ascii="Arial" w:hAnsi="Arial" w:cs="Arial"/>
          <w:sz w:val="18"/>
          <w:szCs w:val="18"/>
        </w:rPr>
        <w:t>2</w:t>
      </w:r>
      <w:r>
        <w:rPr>
          <w:rFonts w:ascii="Arial" w:hAnsi="Arial" w:cs="Arial"/>
          <w:sz w:val="18"/>
          <w:szCs w:val="18"/>
        </w:rPr>
        <w:t xml:space="preserve"> - Australian Consumer Law,</w:t>
      </w:r>
      <w:r w:rsidRPr="008803EF">
        <w:rPr>
          <w:rFonts w:ascii="Arial" w:hAnsi="Arial" w:cs="Arial"/>
          <w:sz w:val="18"/>
          <w:szCs w:val="18"/>
        </w:rPr>
        <w:t xml:space="preserve"> </w:t>
      </w:r>
      <w:r>
        <w:rPr>
          <w:rFonts w:ascii="Arial" w:hAnsi="Arial" w:cs="Arial"/>
          <w:sz w:val="18"/>
          <w:szCs w:val="18"/>
        </w:rPr>
        <w:t>ss 41 and 85.</w:t>
      </w:r>
    </w:p>
  </w:footnote>
  <w:footnote w:id="35">
    <w:p w14:paraId="2FD0AACF" w14:textId="65C2B266"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See ss 31C and 82(3), and 204(1) of the </w:t>
      </w:r>
      <w:r w:rsidR="00D047B0" w:rsidRPr="00D047B0">
        <w:rPr>
          <w:rFonts w:ascii="Arial" w:hAnsi="Arial" w:cs="Arial"/>
          <w:i/>
          <w:sz w:val="18"/>
          <w:szCs w:val="18"/>
        </w:rPr>
        <w:t>National Credit Code</w:t>
      </w:r>
      <w:r w:rsidRPr="008803EF">
        <w:rPr>
          <w:rFonts w:ascii="Arial" w:hAnsi="Arial" w:cs="Arial"/>
          <w:sz w:val="18"/>
          <w:szCs w:val="18"/>
        </w:rPr>
        <w:t>.</w:t>
      </w:r>
    </w:p>
  </w:footnote>
  <w:footnote w:id="36">
    <w:p w14:paraId="7D019536" w14:textId="381383BC" w:rsidR="008A7C4F" w:rsidRPr="008803EF" w:rsidRDefault="008A7C4F" w:rsidP="00F90806">
      <w:pPr>
        <w:pStyle w:val="subsection"/>
        <w:spacing w:before="0" w:beforeAutospacing="0" w:after="0" w:afterAutospacing="0"/>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w:t>
      </w:r>
      <w:r w:rsidRPr="008803EF">
        <w:rPr>
          <w:rFonts w:ascii="Arial" w:hAnsi="Arial" w:cs="Arial"/>
          <w:sz w:val="18"/>
          <w:szCs w:val="18"/>
          <w:lang w:val="en-AU"/>
        </w:rPr>
        <w:t xml:space="preserve">Section 31A of the </w:t>
      </w:r>
      <w:r w:rsidRPr="00D047B0">
        <w:rPr>
          <w:rFonts w:ascii="Arial" w:hAnsi="Arial" w:cs="Arial"/>
          <w:i/>
          <w:sz w:val="18"/>
          <w:szCs w:val="18"/>
          <w:lang w:val="en-AU"/>
        </w:rPr>
        <w:t>National Credit Code</w:t>
      </w:r>
      <w:r w:rsidRPr="008803EF">
        <w:rPr>
          <w:rFonts w:ascii="Arial" w:hAnsi="Arial" w:cs="Arial"/>
          <w:sz w:val="18"/>
          <w:szCs w:val="18"/>
          <w:lang w:val="en-AU"/>
        </w:rPr>
        <w:t xml:space="preserve"> provides that: A small amount credit contract must not impose or provide for fees and charges if the fees and charges are not of the following kind:</w:t>
      </w:r>
    </w:p>
    <w:p w14:paraId="40C627A9" w14:textId="70615005" w:rsidR="008A7C4F" w:rsidRPr="008803EF" w:rsidRDefault="008A7C4F" w:rsidP="00F90806">
      <w:pPr>
        <w:pStyle w:val="paragraph"/>
        <w:numPr>
          <w:ilvl w:val="0"/>
          <w:numId w:val="28"/>
        </w:numPr>
        <w:spacing w:before="0" w:beforeAutospacing="0" w:after="0" w:afterAutospacing="0"/>
        <w:rPr>
          <w:rFonts w:ascii="Arial" w:hAnsi="Arial" w:cs="Arial"/>
          <w:sz w:val="18"/>
          <w:szCs w:val="18"/>
        </w:rPr>
      </w:pPr>
      <w:r w:rsidRPr="008803EF">
        <w:rPr>
          <w:rFonts w:ascii="Arial" w:hAnsi="Arial" w:cs="Arial"/>
          <w:sz w:val="18"/>
          <w:szCs w:val="18"/>
          <w:lang w:val="en-AU"/>
        </w:rPr>
        <w:t>a permitted establishment fee;</w:t>
      </w:r>
    </w:p>
    <w:p w14:paraId="0CEC5FBB" w14:textId="5DF9A65A" w:rsidR="008A7C4F" w:rsidRPr="008803EF" w:rsidRDefault="008A7C4F" w:rsidP="00F90806">
      <w:pPr>
        <w:pStyle w:val="paragraph"/>
        <w:numPr>
          <w:ilvl w:val="0"/>
          <w:numId w:val="28"/>
        </w:numPr>
        <w:spacing w:before="0" w:beforeAutospacing="0" w:after="0" w:afterAutospacing="0"/>
        <w:rPr>
          <w:rFonts w:ascii="Arial" w:hAnsi="Arial" w:cs="Arial"/>
          <w:sz w:val="18"/>
          <w:szCs w:val="18"/>
        </w:rPr>
      </w:pPr>
      <w:r w:rsidRPr="008803EF">
        <w:rPr>
          <w:rFonts w:ascii="Arial" w:hAnsi="Arial" w:cs="Arial"/>
          <w:sz w:val="18"/>
          <w:szCs w:val="18"/>
          <w:lang w:val="en-AU"/>
        </w:rPr>
        <w:t xml:space="preserve">a fee or charge (a </w:t>
      </w:r>
      <w:r w:rsidRPr="008803EF">
        <w:rPr>
          <w:rFonts w:ascii="Arial" w:hAnsi="Arial" w:cs="Arial"/>
          <w:b/>
          <w:bCs/>
          <w:i/>
          <w:iCs/>
          <w:sz w:val="18"/>
          <w:szCs w:val="18"/>
          <w:lang w:val="en-AU"/>
        </w:rPr>
        <w:t>permitted monthly fee</w:t>
      </w:r>
      <w:r w:rsidRPr="008803EF">
        <w:rPr>
          <w:rFonts w:ascii="Arial" w:hAnsi="Arial" w:cs="Arial"/>
          <w:sz w:val="18"/>
          <w:szCs w:val="18"/>
          <w:lang w:val="en-AU"/>
        </w:rPr>
        <w:t>) that is payable on a monthly basis starting on the day the contract is entered into;</w:t>
      </w:r>
    </w:p>
    <w:p w14:paraId="63213A89" w14:textId="53FE7447" w:rsidR="008A7C4F" w:rsidRPr="008803EF" w:rsidRDefault="008A7C4F" w:rsidP="00F90806">
      <w:pPr>
        <w:pStyle w:val="paragraph"/>
        <w:numPr>
          <w:ilvl w:val="0"/>
          <w:numId w:val="28"/>
        </w:numPr>
        <w:spacing w:before="0" w:beforeAutospacing="0" w:after="0" w:afterAutospacing="0"/>
        <w:rPr>
          <w:rFonts w:ascii="Arial" w:hAnsi="Arial" w:cs="Arial"/>
          <w:sz w:val="18"/>
          <w:szCs w:val="18"/>
        </w:rPr>
      </w:pPr>
      <w:r w:rsidRPr="008803EF">
        <w:rPr>
          <w:rFonts w:ascii="Arial" w:hAnsi="Arial" w:cs="Arial"/>
          <w:sz w:val="18"/>
          <w:szCs w:val="18"/>
          <w:lang w:val="en-AU"/>
        </w:rPr>
        <w:t>a fee or charge that is payable in the event of a default in payment under the contract;</w:t>
      </w:r>
    </w:p>
    <w:p w14:paraId="1A69F52F" w14:textId="467F1502" w:rsidR="008A7C4F" w:rsidRPr="008803EF" w:rsidRDefault="008A7C4F" w:rsidP="00F90806">
      <w:pPr>
        <w:pStyle w:val="paragraph"/>
        <w:numPr>
          <w:ilvl w:val="0"/>
          <w:numId w:val="28"/>
        </w:numPr>
        <w:spacing w:before="0" w:beforeAutospacing="0" w:after="0" w:afterAutospacing="0"/>
        <w:rPr>
          <w:rFonts w:ascii="Arial" w:hAnsi="Arial" w:cs="Arial"/>
          <w:sz w:val="18"/>
          <w:szCs w:val="18"/>
        </w:rPr>
      </w:pPr>
      <w:r w:rsidRPr="008803EF">
        <w:rPr>
          <w:rFonts w:ascii="Arial" w:hAnsi="Arial" w:cs="Arial"/>
          <w:sz w:val="18"/>
          <w:szCs w:val="18"/>
          <w:lang w:val="en-AU"/>
        </w:rPr>
        <w:t>a government fee, charge or duty payable in relation to the contract.</w:t>
      </w:r>
    </w:p>
  </w:footnote>
  <w:footnote w:id="37">
    <w:p w14:paraId="4E869F1F" w14:textId="32A56D7C"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See </w:t>
      </w:r>
      <w:r w:rsidR="00D047B0">
        <w:rPr>
          <w:rFonts w:ascii="Arial" w:hAnsi="Arial" w:cs="Arial"/>
          <w:i/>
          <w:sz w:val="18"/>
          <w:szCs w:val="18"/>
        </w:rPr>
        <w:t>National Credit Code</w:t>
      </w:r>
      <w:r w:rsidR="00D047B0" w:rsidRPr="008803EF">
        <w:rPr>
          <w:rFonts w:ascii="Arial" w:hAnsi="Arial" w:cs="Arial"/>
          <w:sz w:val="18"/>
          <w:szCs w:val="18"/>
        </w:rPr>
        <w:t xml:space="preserve"> </w:t>
      </w:r>
      <w:r w:rsidRPr="008803EF">
        <w:rPr>
          <w:rFonts w:ascii="Arial" w:hAnsi="Arial" w:cs="Arial"/>
          <w:sz w:val="18"/>
          <w:szCs w:val="18"/>
        </w:rPr>
        <w:t>s174</w:t>
      </w:r>
      <w:r w:rsidR="00D047B0">
        <w:rPr>
          <w:rFonts w:ascii="Arial" w:hAnsi="Arial" w:cs="Arial"/>
          <w:i/>
          <w:sz w:val="18"/>
          <w:szCs w:val="18"/>
        </w:rPr>
        <w:t>.</w:t>
      </w:r>
    </w:p>
  </w:footnote>
  <w:footnote w:id="38">
    <w:p w14:paraId="08A6548F" w14:textId="11AF45C8"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Similar requirements apply to comparison rates in advertisements: see </w:t>
      </w:r>
      <w:r w:rsidRPr="008803EF">
        <w:rPr>
          <w:rFonts w:ascii="Arial" w:hAnsi="Arial" w:cs="Arial"/>
          <w:i/>
          <w:sz w:val="18"/>
          <w:szCs w:val="18"/>
        </w:rPr>
        <w:t>National Credit Code</w:t>
      </w:r>
      <w:r w:rsidRPr="008803EF">
        <w:rPr>
          <w:rFonts w:ascii="Arial" w:hAnsi="Arial" w:cs="Arial"/>
          <w:sz w:val="18"/>
          <w:szCs w:val="18"/>
        </w:rPr>
        <w:t xml:space="preserve"> Pt 10 Div 2.</w:t>
      </w:r>
    </w:p>
  </w:footnote>
  <w:footnote w:id="39">
    <w:p w14:paraId="1BE56BB3" w14:textId="5F7145BF" w:rsidR="008A7C4F" w:rsidRPr="008803EF" w:rsidRDefault="008A7C4F" w:rsidP="00F90806">
      <w:pPr>
        <w:pStyle w:val="subsection"/>
        <w:spacing w:before="0" w:beforeAutospacing="0" w:after="0" w:afterAutospacing="0"/>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w:t>
      </w:r>
      <w:r w:rsidRPr="008803EF">
        <w:rPr>
          <w:rFonts w:ascii="Arial" w:hAnsi="Arial" w:cs="Arial"/>
          <w:i/>
          <w:sz w:val="18"/>
          <w:szCs w:val="18"/>
        </w:rPr>
        <w:t>National Credit Code</w:t>
      </w:r>
      <w:r w:rsidRPr="008803EF">
        <w:rPr>
          <w:rFonts w:ascii="Arial" w:hAnsi="Arial" w:cs="Arial"/>
          <w:sz w:val="18"/>
          <w:szCs w:val="18"/>
        </w:rPr>
        <w:t xml:space="preserve"> s164 provides that:</w:t>
      </w:r>
      <w:r w:rsidRPr="008803EF">
        <w:rPr>
          <w:rFonts w:ascii="Arial" w:hAnsi="Arial" w:cs="Arial"/>
          <w:sz w:val="18"/>
          <w:szCs w:val="18"/>
          <w:lang w:val="en-AU"/>
        </w:rPr>
        <w:t xml:space="preserve"> A comparison rate in any credit advertisement must not be less prominent than:</w:t>
      </w:r>
    </w:p>
    <w:p w14:paraId="4B617949" w14:textId="37CD7CDC" w:rsidR="008A7C4F" w:rsidRPr="008803EF" w:rsidRDefault="008A7C4F" w:rsidP="00F90806">
      <w:pPr>
        <w:pStyle w:val="paragraph"/>
        <w:numPr>
          <w:ilvl w:val="0"/>
          <w:numId w:val="30"/>
        </w:numPr>
        <w:spacing w:before="0" w:beforeAutospacing="0" w:after="0" w:afterAutospacing="0"/>
        <w:rPr>
          <w:rFonts w:ascii="Arial" w:hAnsi="Arial" w:cs="Arial"/>
          <w:sz w:val="18"/>
          <w:szCs w:val="18"/>
        </w:rPr>
      </w:pPr>
      <w:r w:rsidRPr="008803EF">
        <w:rPr>
          <w:rFonts w:ascii="Arial" w:hAnsi="Arial" w:cs="Arial"/>
          <w:sz w:val="18"/>
          <w:szCs w:val="18"/>
          <w:lang w:val="en-AU"/>
        </w:rPr>
        <w:t>any annual percentage rate stated in the advertisement; and</w:t>
      </w:r>
    </w:p>
    <w:p w14:paraId="340511EC" w14:textId="77223F2B" w:rsidR="008A7C4F" w:rsidRPr="008803EF" w:rsidRDefault="008A7C4F" w:rsidP="00F90806">
      <w:pPr>
        <w:pStyle w:val="paragraph"/>
        <w:numPr>
          <w:ilvl w:val="0"/>
          <w:numId w:val="30"/>
        </w:numPr>
        <w:spacing w:before="0" w:beforeAutospacing="0" w:after="0" w:afterAutospacing="0"/>
        <w:rPr>
          <w:rFonts w:ascii="Arial" w:hAnsi="Arial" w:cs="Arial"/>
          <w:sz w:val="18"/>
          <w:szCs w:val="18"/>
        </w:rPr>
      </w:pPr>
      <w:r w:rsidRPr="008803EF">
        <w:rPr>
          <w:rFonts w:ascii="Arial" w:hAnsi="Arial" w:cs="Arial"/>
          <w:sz w:val="18"/>
          <w:szCs w:val="18"/>
          <w:lang w:val="en-AU"/>
        </w:rPr>
        <w:t>the amount of any repayment stated in the advertisement.</w:t>
      </w:r>
    </w:p>
  </w:footnote>
  <w:footnote w:id="40">
    <w:p w14:paraId="4ADC582B" w14:textId="4932C4D7"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See s175AA, 175AB and 175AC of the </w:t>
      </w:r>
      <w:r w:rsidR="00D047B0">
        <w:rPr>
          <w:rFonts w:ascii="Arial" w:hAnsi="Arial" w:cs="Arial"/>
          <w:i/>
          <w:sz w:val="18"/>
          <w:szCs w:val="18"/>
        </w:rPr>
        <w:t>National Credit Code.</w:t>
      </w:r>
    </w:p>
  </w:footnote>
  <w:footnote w:id="41">
    <w:p w14:paraId="51D7739F" w14:textId="37B2C7B7"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w:t>
      </w:r>
      <w:r w:rsidR="00D047B0">
        <w:rPr>
          <w:rFonts w:ascii="Arial" w:hAnsi="Arial" w:cs="Arial"/>
          <w:sz w:val="18"/>
          <w:szCs w:val="18"/>
        </w:rPr>
        <w:t>Australian Securities and Investments Commission</w:t>
      </w:r>
      <w:r w:rsidR="00D047B0">
        <w:rPr>
          <w:rFonts w:ascii="Arial" w:hAnsi="Arial" w:cs="Arial"/>
          <w:i/>
          <w:sz w:val="18"/>
          <w:szCs w:val="18"/>
        </w:rPr>
        <w:t xml:space="preserve">, </w:t>
      </w:r>
      <w:r w:rsidR="00D047B0" w:rsidRPr="00D047B0">
        <w:rPr>
          <w:rFonts w:ascii="Arial" w:hAnsi="Arial" w:cs="Arial"/>
          <w:i/>
          <w:sz w:val="18"/>
          <w:szCs w:val="18"/>
        </w:rPr>
        <w:t>15-249MR ASIC finds the cost of consumer leases can be as high as 884%</w:t>
      </w:r>
      <w:r w:rsidR="00D047B0">
        <w:rPr>
          <w:rFonts w:ascii="Arial" w:hAnsi="Arial" w:cs="Arial"/>
          <w:sz w:val="18"/>
          <w:szCs w:val="18"/>
        </w:rPr>
        <w:t>, 11 September 2015, available at:</w:t>
      </w:r>
      <w:r w:rsidR="00D047B0">
        <w:rPr>
          <w:rFonts w:ascii="Arial" w:hAnsi="Arial" w:cs="Arial"/>
          <w:i/>
          <w:sz w:val="18"/>
          <w:szCs w:val="18"/>
        </w:rPr>
        <w:t xml:space="preserve"> </w:t>
      </w:r>
      <w:hyperlink r:id="rId22" w:history="1">
        <w:r w:rsidRPr="008803EF">
          <w:rPr>
            <w:rStyle w:val="Hyperlink"/>
            <w:rFonts w:ascii="Arial" w:hAnsi="Arial" w:cs="Arial"/>
            <w:sz w:val="18"/>
            <w:szCs w:val="18"/>
          </w:rPr>
          <w:t>http://asic.gov.au/about-asic/media-centre/find-a-media-release/2015-releases/15-249mr-asic-finds-the-cost-of-consumer-leases-can-be-as-high-as-884/</w:t>
        </w:r>
      </w:hyperlink>
      <w:r w:rsidRPr="008803EF">
        <w:rPr>
          <w:rFonts w:ascii="Arial" w:hAnsi="Arial" w:cs="Arial"/>
          <w:sz w:val="18"/>
          <w:szCs w:val="18"/>
        </w:rPr>
        <w:t xml:space="preserve">. </w:t>
      </w:r>
    </w:p>
  </w:footnote>
  <w:footnote w:id="42">
    <w:p w14:paraId="6FE2CE4C" w14:textId="5239C992"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w:t>
      </w:r>
      <w:r>
        <w:rPr>
          <w:rFonts w:ascii="Arial" w:hAnsi="Arial" w:cs="Arial"/>
          <w:sz w:val="18"/>
          <w:szCs w:val="18"/>
        </w:rPr>
        <w:t>See the</w:t>
      </w:r>
      <w:r w:rsidRPr="008803EF">
        <w:rPr>
          <w:rFonts w:ascii="Arial" w:hAnsi="Arial" w:cs="Arial"/>
          <w:sz w:val="18"/>
          <w:szCs w:val="18"/>
        </w:rPr>
        <w:t xml:space="preserve"> concept of ‘cash price’ is </w:t>
      </w:r>
      <w:r>
        <w:rPr>
          <w:rFonts w:ascii="Arial" w:hAnsi="Arial" w:cs="Arial"/>
          <w:sz w:val="18"/>
          <w:szCs w:val="18"/>
        </w:rPr>
        <w:t xml:space="preserve">in ss 9, 11, </w:t>
      </w:r>
      <w:r w:rsidRPr="008803EF">
        <w:rPr>
          <w:rFonts w:ascii="Arial" w:hAnsi="Arial" w:cs="Arial"/>
          <w:sz w:val="18"/>
          <w:szCs w:val="18"/>
        </w:rPr>
        <w:t xml:space="preserve">12 </w:t>
      </w:r>
      <w:r>
        <w:rPr>
          <w:rFonts w:ascii="Arial" w:hAnsi="Arial" w:cs="Arial"/>
          <w:sz w:val="18"/>
          <w:szCs w:val="18"/>
        </w:rPr>
        <w:t xml:space="preserve">and 170 </w:t>
      </w:r>
      <w:r w:rsidRPr="008803EF">
        <w:rPr>
          <w:rFonts w:ascii="Arial" w:hAnsi="Arial" w:cs="Arial"/>
          <w:sz w:val="18"/>
          <w:szCs w:val="18"/>
        </w:rPr>
        <w:t xml:space="preserve">of the </w:t>
      </w:r>
      <w:r w:rsidRPr="008803EF">
        <w:rPr>
          <w:rFonts w:ascii="Arial" w:hAnsi="Arial" w:cs="Arial"/>
          <w:i/>
          <w:sz w:val="18"/>
          <w:szCs w:val="18"/>
        </w:rPr>
        <w:t xml:space="preserve">National Credit Code, </w:t>
      </w:r>
      <w:bookmarkStart w:id="3" w:name="_Toc485899889"/>
      <w:r w:rsidRPr="008803EF">
        <w:rPr>
          <w:rFonts w:ascii="Arial" w:hAnsi="Arial" w:cs="Arial"/>
          <w:sz w:val="18"/>
          <w:szCs w:val="18"/>
        </w:rPr>
        <w:t xml:space="preserve">which </w:t>
      </w:r>
      <w:r>
        <w:rPr>
          <w:rFonts w:ascii="Arial" w:hAnsi="Arial" w:cs="Arial"/>
          <w:sz w:val="18"/>
          <w:szCs w:val="18"/>
        </w:rPr>
        <w:t xml:space="preserve">mainly </w:t>
      </w:r>
      <w:r w:rsidRPr="008803EF">
        <w:rPr>
          <w:rFonts w:ascii="Arial" w:hAnsi="Arial" w:cs="Arial"/>
          <w:sz w:val="18"/>
          <w:szCs w:val="18"/>
        </w:rPr>
        <w:t>relate</w:t>
      </w:r>
      <w:r w:rsidR="00D047B0">
        <w:rPr>
          <w:rFonts w:ascii="Arial" w:hAnsi="Arial" w:cs="Arial"/>
          <w:sz w:val="18"/>
          <w:szCs w:val="18"/>
        </w:rPr>
        <w:t>s</w:t>
      </w:r>
      <w:r w:rsidRPr="008803EF">
        <w:rPr>
          <w:rFonts w:ascii="Arial" w:hAnsi="Arial" w:cs="Arial"/>
          <w:sz w:val="18"/>
          <w:szCs w:val="18"/>
        </w:rPr>
        <w:t xml:space="preserve"> to goods leases with option to purchase being regarded as sale by instalments</w:t>
      </w:r>
      <w:bookmarkEnd w:id="3"/>
      <w:r w:rsidRPr="008803EF">
        <w:rPr>
          <w:rFonts w:ascii="Arial" w:hAnsi="Arial" w:cs="Arial"/>
          <w:sz w:val="18"/>
          <w:szCs w:val="18"/>
        </w:rPr>
        <w:t>.</w:t>
      </w:r>
    </w:p>
  </w:footnote>
  <w:footnote w:id="43">
    <w:p w14:paraId="0D254519" w14:textId="1CEA7EC4" w:rsidR="008A7C4F" w:rsidRPr="008803EF" w:rsidRDefault="008A7C4F" w:rsidP="00F90806">
      <w:pPr>
        <w:pStyle w:val="definition"/>
        <w:spacing w:before="0" w:beforeAutospacing="0" w:after="0" w:afterAutospacing="0"/>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The ‘lowest price’ is further defined as ‘</w:t>
      </w:r>
      <w:r w:rsidRPr="008803EF">
        <w:rPr>
          <w:rFonts w:ascii="Arial" w:hAnsi="Arial" w:cs="Arial"/>
          <w:sz w:val="18"/>
          <w:szCs w:val="18"/>
          <w:lang w:val="en-AU"/>
        </w:rPr>
        <w:t>the lowest price including any goods and services tax but unaffected by any discount between the credit provider and the supplier.’</w:t>
      </w:r>
    </w:p>
  </w:footnote>
  <w:footnote w:id="44">
    <w:p w14:paraId="6759CC96" w14:textId="51CE15C9"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Section 175AA(7)</w:t>
      </w:r>
      <w:r w:rsidR="00D047B0">
        <w:rPr>
          <w:rFonts w:ascii="Arial" w:hAnsi="Arial" w:cs="Arial"/>
          <w:sz w:val="18"/>
          <w:szCs w:val="18"/>
        </w:rPr>
        <w:t>.</w:t>
      </w:r>
    </w:p>
  </w:footnote>
  <w:footnote w:id="45">
    <w:p w14:paraId="61C5B201" w14:textId="41445CB0"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w:t>
      </w:r>
      <w:r w:rsidRPr="00D047B0">
        <w:rPr>
          <w:rFonts w:ascii="Arial" w:hAnsi="Arial" w:cs="Arial"/>
          <w:i/>
          <w:sz w:val="18"/>
          <w:szCs w:val="18"/>
        </w:rPr>
        <w:t>National Credit Code</w:t>
      </w:r>
      <w:r w:rsidRPr="008803EF">
        <w:rPr>
          <w:rFonts w:ascii="Arial" w:hAnsi="Arial" w:cs="Arial"/>
          <w:sz w:val="18"/>
          <w:szCs w:val="18"/>
        </w:rPr>
        <w:t xml:space="preserve"> </w:t>
      </w:r>
      <w:r w:rsidR="00D047B0">
        <w:rPr>
          <w:rFonts w:ascii="Arial" w:hAnsi="Arial" w:cs="Arial"/>
          <w:sz w:val="18"/>
          <w:szCs w:val="18"/>
        </w:rPr>
        <w:t>s9.</w:t>
      </w:r>
    </w:p>
  </w:footnote>
  <w:footnote w:id="46">
    <w:p w14:paraId="470EBF28" w14:textId="69C0F628"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See s179VA and 204(1) of the NCC</w:t>
      </w:r>
    </w:p>
  </w:footnote>
  <w:footnote w:id="47">
    <w:p w14:paraId="4B5EBF60" w14:textId="467EC5BE"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w:t>
      </w:r>
      <w:r w:rsidRPr="008803EF">
        <w:rPr>
          <w:rFonts w:ascii="Arial" w:hAnsi="Arial" w:cs="Arial"/>
          <w:i/>
          <w:sz w:val="18"/>
          <w:szCs w:val="18"/>
        </w:rPr>
        <w:t>Competition and Consumer Act 2010</w:t>
      </w:r>
      <w:r w:rsidRPr="008803EF">
        <w:rPr>
          <w:rFonts w:ascii="Arial" w:hAnsi="Arial" w:cs="Arial"/>
          <w:sz w:val="18"/>
          <w:szCs w:val="18"/>
        </w:rPr>
        <w:t xml:space="preserve"> (Cth) Schedule 2</w:t>
      </w:r>
      <w:r w:rsidR="00D047B0">
        <w:rPr>
          <w:rFonts w:ascii="Arial" w:hAnsi="Arial" w:cs="Arial"/>
          <w:sz w:val="18"/>
          <w:szCs w:val="18"/>
        </w:rPr>
        <w:t>.</w:t>
      </w:r>
    </w:p>
  </w:footnote>
  <w:footnote w:id="48">
    <w:p w14:paraId="17DE776D" w14:textId="21ECF226" w:rsidR="008A7C4F" w:rsidRPr="008803EF" w:rsidRDefault="008A7C4F" w:rsidP="00F90806">
      <w:pPr>
        <w:pStyle w:val="FootnoteText"/>
        <w:rPr>
          <w:rFonts w:ascii="Arial" w:hAnsi="Arial" w:cs="Arial"/>
          <w:sz w:val="18"/>
          <w:szCs w:val="18"/>
        </w:rPr>
      </w:pPr>
      <w:r w:rsidRPr="008803EF">
        <w:rPr>
          <w:rStyle w:val="FootnoteReference"/>
          <w:rFonts w:ascii="Arial" w:hAnsi="Arial" w:cs="Arial"/>
          <w:sz w:val="18"/>
          <w:szCs w:val="18"/>
        </w:rPr>
        <w:footnoteRef/>
      </w:r>
      <w:r w:rsidRPr="008803EF">
        <w:rPr>
          <w:rFonts w:ascii="Arial" w:hAnsi="Arial" w:cs="Arial"/>
          <w:sz w:val="18"/>
          <w:szCs w:val="18"/>
        </w:rPr>
        <w:t xml:space="preserve"> </w:t>
      </w:r>
      <w:r w:rsidR="00D047B0">
        <w:rPr>
          <w:rFonts w:ascii="Arial" w:hAnsi="Arial" w:cs="Arial"/>
          <w:sz w:val="18"/>
          <w:szCs w:val="18"/>
        </w:rPr>
        <w:t xml:space="preserve">The Treasury, </w:t>
      </w:r>
      <w:r w:rsidR="00D047B0">
        <w:rPr>
          <w:rFonts w:ascii="Arial" w:hAnsi="Arial" w:cs="Arial"/>
          <w:i/>
          <w:sz w:val="18"/>
          <w:szCs w:val="18"/>
        </w:rPr>
        <w:t xml:space="preserve">Australian Consumer Law Review – Final Report, March 2017, </w:t>
      </w:r>
      <w:r w:rsidR="00D047B0">
        <w:rPr>
          <w:rFonts w:ascii="Arial" w:hAnsi="Arial" w:cs="Arial"/>
          <w:sz w:val="18"/>
          <w:szCs w:val="18"/>
        </w:rPr>
        <w:t xml:space="preserve">p. 58, available at: </w:t>
      </w:r>
      <w:hyperlink r:id="rId23" w:history="1">
        <w:r w:rsidRPr="008803EF">
          <w:rPr>
            <w:rStyle w:val="Hyperlink"/>
            <w:rFonts w:ascii="Arial" w:hAnsi="Arial" w:cs="Arial"/>
            <w:sz w:val="18"/>
            <w:szCs w:val="18"/>
          </w:rPr>
          <w:t>https://cdn.tspace.gov.au/uploads/sites/86/2017/04/ACL_Review_Final_Report.pdf</w:t>
        </w:r>
      </w:hyperlink>
      <w:r w:rsidR="00D047B0">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3C280" w14:textId="77777777" w:rsidR="008A7C4F" w:rsidRDefault="008A7C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2AA7C" w14:textId="2428D065" w:rsidR="008A7C4F" w:rsidRDefault="008A7C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9F0A8" w14:textId="77777777" w:rsidR="008A7C4F" w:rsidRDefault="008A7C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CD9"/>
    <w:multiLevelType w:val="hybridMultilevel"/>
    <w:tmpl w:val="25046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433CD3"/>
    <w:multiLevelType w:val="hybridMultilevel"/>
    <w:tmpl w:val="404CF0A6"/>
    <w:lvl w:ilvl="0" w:tplc="3FEE16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8B5E4B"/>
    <w:multiLevelType w:val="hybridMultilevel"/>
    <w:tmpl w:val="6E60BF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F614AD"/>
    <w:multiLevelType w:val="hybridMultilevel"/>
    <w:tmpl w:val="A462DC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34655D"/>
    <w:multiLevelType w:val="hybridMultilevel"/>
    <w:tmpl w:val="1CF071BE"/>
    <w:lvl w:ilvl="0" w:tplc="DC46F67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FD065F"/>
    <w:multiLevelType w:val="hybridMultilevel"/>
    <w:tmpl w:val="32E016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A1425D2"/>
    <w:multiLevelType w:val="hybridMultilevel"/>
    <w:tmpl w:val="A7F4CB18"/>
    <w:lvl w:ilvl="0" w:tplc="7F28BD8E">
      <w:start w:val="1"/>
      <w:numFmt w:val="lowerLetter"/>
      <w:lvlText w:val="(%1)"/>
      <w:lvlJc w:val="left"/>
      <w:pPr>
        <w:ind w:left="1650" w:hanging="39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7">
    <w:nsid w:val="1DB72ED1"/>
    <w:multiLevelType w:val="hybridMultilevel"/>
    <w:tmpl w:val="939645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04A6FB9"/>
    <w:multiLevelType w:val="hybridMultilevel"/>
    <w:tmpl w:val="41002406"/>
    <w:lvl w:ilvl="0" w:tplc="7B40C752">
      <w:start w:val="1"/>
      <w:numFmt w:val="lowerLetter"/>
      <w:lvlText w:val="(%1)"/>
      <w:lvlJc w:val="left"/>
      <w:pPr>
        <w:ind w:left="1650" w:hanging="39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9">
    <w:nsid w:val="211F5474"/>
    <w:multiLevelType w:val="hybridMultilevel"/>
    <w:tmpl w:val="882C7056"/>
    <w:lvl w:ilvl="0" w:tplc="08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603E35"/>
    <w:multiLevelType w:val="hybridMultilevel"/>
    <w:tmpl w:val="9466706E"/>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nsid w:val="2F8B1275"/>
    <w:multiLevelType w:val="hybridMultilevel"/>
    <w:tmpl w:val="61BE3F9A"/>
    <w:lvl w:ilvl="0" w:tplc="D07A72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687190B"/>
    <w:multiLevelType w:val="hybridMultilevel"/>
    <w:tmpl w:val="4ACC0492"/>
    <w:lvl w:ilvl="0" w:tplc="0FEE956E">
      <w:start w:val="13"/>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7061D52"/>
    <w:multiLevelType w:val="hybridMultilevel"/>
    <w:tmpl w:val="B6649848"/>
    <w:lvl w:ilvl="0" w:tplc="C1D21CFE">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nsid w:val="3C2B7F12"/>
    <w:multiLevelType w:val="hybridMultilevel"/>
    <w:tmpl w:val="E8C0C320"/>
    <w:lvl w:ilvl="0" w:tplc="69068BE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FFD0320"/>
    <w:multiLevelType w:val="hybridMultilevel"/>
    <w:tmpl w:val="96663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501254"/>
    <w:multiLevelType w:val="hybridMultilevel"/>
    <w:tmpl w:val="2886032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42E5474"/>
    <w:multiLevelType w:val="hybridMultilevel"/>
    <w:tmpl w:val="82E2B09C"/>
    <w:lvl w:ilvl="0" w:tplc="0A12CB6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470D73AA"/>
    <w:multiLevelType w:val="multilevel"/>
    <w:tmpl w:val="4362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EC2E2D"/>
    <w:multiLevelType w:val="hybridMultilevel"/>
    <w:tmpl w:val="4C863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7A770D"/>
    <w:multiLevelType w:val="hybridMultilevel"/>
    <w:tmpl w:val="7E1C5A92"/>
    <w:lvl w:ilvl="0" w:tplc="F5FC858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B787FC5"/>
    <w:multiLevelType w:val="hybridMultilevel"/>
    <w:tmpl w:val="0DB2A1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7622A6"/>
    <w:multiLevelType w:val="hybridMultilevel"/>
    <w:tmpl w:val="D9BA549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134364"/>
    <w:multiLevelType w:val="hybridMultilevel"/>
    <w:tmpl w:val="E2383F86"/>
    <w:lvl w:ilvl="0" w:tplc="276A5F1A">
      <w:numFmt w:val="bullet"/>
      <w:lvlText w:val=""/>
      <w:lvlJc w:val="left"/>
      <w:pPr>
        <w:ind w:left="1080" w:hanging="360"/>
      </w:pPr>
      <w:rPr>
        <w:rFonts w:ascii="Symbol" w:eastAsia="Times New Roman"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54493E97"/>
    <w:multiLevelType w:val="hybridMultilevel"/>
    <w:tmpl w:val="C5B2EC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0463983"/>
    <w:multiLevelType w:val="hybridMultilevel"/>
    <w:tmpl w:val="8660B322"/>
    <w:lvl w:ilvl="0" w:tplc="7EDA1428">
      <w:start w:val="1"/>
      <w:numFmt w:val="lowerLetter"/>
      <w:lvlText w:val="(%1)"/>
      <w:lvlJc w:val="left"/>
      <w:pPr>
        <w:ind w:left="1650" w:hanging="39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6">
    <w:nsid w:val="60A60705"/>
    <w:multiLevelType w:val="hybridMultilevel"/>
    <w:tmpl w:val="8DCEC4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13B4CB4"/>
    <w:multiLevelType w:val="hybridMultilevel"/>
    <w:tmpl w:val="8A7079D6"/>
    <w:lvl w:ilvl="0" w:tplc="78023F22">
      <w:start w:val="1"/>
      <w:numFmt w:val="lowerLetter"/>
      <w:lvlText w:val="(%1)"/>
      <w:lvlJc w:val="left"/>
      <w:pPr>
        <w:ind w:left="1650" w:hanging="39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8">
    <w:nsid w:val="64F26B82"/>
    <w:multiLevelType w:val="hybridMultilevel"/>
    <w:tmpl w:val="30F8ECB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59857D9"/>
    <w:multiLevelType w:val="hybridMultilevel"/>
    <w:tmpl w:val="C54448A8"/>
    <w:lvl w:ilvl="0" w:tplc="7A30F9F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69E40E56"/>
    <w:multiLevelType w:val="hybridMultilevel"/>
    <w:tmpl w:val="75B2BFE4"/>
    <w:lvl w:ilvl="0" w:tplc="8C1A2AB2">
      <w:start w:val="1"/>
      <w:numFmt w:val="lowerLetter"/>
      <w:lvlText w:val="(%1)"/>
      <w:lvlJc w:val="left"/>
      <w:pPr>
        <w:ind w:left="1650" w:hanging="39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1">
    <w:nsid w:val="6F45790A"/>
    <w:multiLevelType w:val="hybridMultilevel"/>
    <w:tmpl w:val="A2AE9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14B115C"/>
    <w:multiLevelType w:val="hybridMultilevel"/>
    <w:tmpl w:val="6A6051AC"/>
    <w:lvl w:ilvl="0" w:tplc="7B0257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30849AA"/>
    <w:multiLevelType w:val="hybridMultilevel"/>
    <w:tmpl w:val="62826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39C6844"/>
    <w:multiLevelType w:val="hybridMultilevel"/>
    <w:tmpl w:val="712C4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7C07EB"/>
    <w:multiLevelType w:val="hybridMultilevel"/>
    <w:tmpl w:val="F6328CEA"/>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6">
    <w:nsid w:val="759E6CC4"/>
    <w:multiLevelType w:val="hybridMultilevel"/>
    <w:tmpl w:val="D4CAC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89E172E"/>
    <w:multiLevelType w:val="multilevel"/>
    <w:tmpl w:val="D8A4A3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7ADA5666"/>
    <w:multiLevelType w:val="hybridMultilevel"/>
    <w:tmpl w:val="70469BE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7361ED"/>
    <w:multiLevelType w:val="hybridMultilevel"/>
    <w:tmpl w:val="1E1EB7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E876136"/>
    <w:multiLevelType w:val="hybridMultilevel"/>
    <w:tmpl w:val="C54448A8"/>
    <w:lvl w:ilvl="0" w:tplc="7A30F9F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6"/>
  </w:num>
  <w:num w:numId="2">
    <w:abstractNumId w:val="7"/>
  </w:num>
  <w:num w:numId="3">
    <w:abstractNumId w:val="12"/>
  </w:num>
  <w:num w:numId="4">
    <w:abstractNumId w:val="32"/>
  </w:num>
  <w:num w:numId="5">
    <w:abstractNumId w:val="17"/>
  </w:num>
  <w:num w:numId="6">
    <w:abstractNumId w:val="1"/>
  </w:num>
  <w:num w:numId="7">
    <w:abstractNumId w:val="11"/>
  </w:num>
  <w:num w:numId="8">
    <w:abstractNumId w:val="4"/>
  </w:num>
  <w:num w:numId="9">
    <w:abstractNumId w:val="15"/>
  </w:num>
  <w:num w:numId="10">
    <w:abstractNumId w:val="31"/>
  </w:num>
  <w:num w:numId="11">
    <w:abstractNumId w:val="0"/>
  </w:num>
  <w:num w:numId="12">
    <w:abstractNumId w:val="40"/>
  </w:num>
  <w:num w:numId="13">
    <w:abstractNumId w:val="29"/>
  </w:num>
  <w:num w:numId="14">
    <w:abstractNumId w:val="5"/>
  </w:num>
  <w:num w:numId="15">
    <w:abstractNumId w:val="14"/>
  </w:num>
  <w:num w:numId="16">
    <w:abstractNumId w:val="23"/>
  </w:num>
  <w:num w:numId="17">
    <w:abstractNumId w:val="20"/>
  </w:num>
  <w:num w:numId="18">
    <w:abstractNumId w:val="26"/>
  </w:num>
  <w:num w:numId="19">
    <w:abstractNumId w:val="33"/>
  </w:num>
  <w:num w:numId="20">
    <w:abstractNumId w:val="36"/>
  </w:num>
  <w:num w:numId="21">
    <w:abstractNumId w:val="9"/>
  </w:num>
  <w:num w:numId="22">
    <w:abstractNumId w:val="22"/>
  </w:num>
  <w:num w:numId="23">
    <w:abstractNumId w:val="38"/>
  </w:num>
  <w:num w:numId="24">
    <w:abstractNumId w:val="39"/>
  </w:num>
  <w:num w:numId="25">
    <w:abstractNumId w:val="19"/>
  </w:num>
  <w:num w:numId="26">
    <w:abstractNumId w:val="34"/>
  </w:num>
  <w:num w:numId="27">
    <w:abstractNumId w:val="18"/>
  </w:num>
  <w:num w:numId="28">
    <w:abstractNumId w:val="24"/>
  </w:num>
  <w:num w:numId="29">
    <w:abstractNumId w:val="25"/>
  </w:num>
  <w:num w:numId="30">
    <w:abstractNumId w:val="21"/>
  </w:num>
  <w:num w:numId="31">
    <w:abstractNumId w:val="27"/>
  </w:num>
  <w:num w:numId="32">
    <w:abstractNumId w:val="3"/>
  </w:num>
  <w:num w:numId="33">
    <w:abstractNumId w:val="6"/>
  </w:num>
  <w:num w:numId="34">
    <w:abstractNumId w:val="2"/>
  </w:num>
  <w:num w:numId="35">
    <w:abstractNumId w:val="8"/>
  </w:num>
  <w:num w:numId="36">
    <w:abstractNumId w:val="28"/>
  </w:num>
  <w:num w:numId="37">
    <w:abstractNumId w:val="30"/>
  </w:num>
  <w:num w:numId="38">
    <w:abstractNumId w:val="37"/>
  </w:num>
  <w:num w:numId="39">
    <w:abstractNumId w:val="35"/>
  </w:num>
  <w:num w:numId="40">
    <w:abstractNumId w:val="10"/>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75"/>
    <w:rsid w:val="000031B9"/>
    <w:rsid w:val="000117E8"/>
    <w:rsid w:val="000140D9"/>
    <w:rsid w:val="00016D25"/>
    <w:rsid w:val="0001700F"/>
    <w:rsid w:val="00017FC3"/>
    <w:rsid w:val="00021874"/>
    <w:rsid w:val="00024694"/>
    <w:rsid w:val="000274AC"/>
    <w:rsid w:val="00030D41"/>
    <w:rsid w:val="00034AE6"/>
    <w:rsid w:val="00034FEB"/>
    <w:rsid w:val="00041FA7"/>
    <w:rsid w:val="0004205D"/>
    <w:rsid w:val="0004412C"/>
    <w:rsid w:val="0004441F"/>
    <w:rsid w:val="00052AC1"/>
    <w:rsid w:val="00061B32"/>
    <w:rsid w:val="000661FD"/>
    <w:rsid w:val="00066206"/>
    <w:rsid w:val="00071C72"/>
    <w:rsid w:val="00077DAC"/>
    <w:rsid w:val="00084D22"/>
    <w:rsid w:val="0008652F"/>
    <w:rsid w:val="00087EA9"/>
    <w:rsid w:val="00090473"/>
    <w:rsid w:val="00091481"/>
    <w:rsid w:val="00092E10"/>
    <w:rsid w:val="00092F84"/>
    <w:rsid w:val="000A079C"/>
    <w:rsid w:val="000A0FFE"/>
    <w:rsid w:val="000A18A3"/>
    <w:rsid w:val="000A329A"/>
    <w:rsid w:val="000A64C9"/>
    <w:rsid w:val="000B0AA6"/>
    <w:rsid w:val="000B7E77"/>
    <w:rsid w:val="000C28D3"/>
    <w:rsid w:val="000C30AA"/>
    <w:rsid w:val="000C7AF8"/>
    <w:rsid w:val="000D1C06"/>
    <w:rsid w:val="000D262D"/>
    <w:rsid w:val="000D2CD3"/>
    <w:rsid w:val="000D5007"/>
    <w:rsid w:val="000D5E27"/>
    <w:rsid w:val="000D61BF"/>
    <w:rsid w:val="000E01D3"/>
    <w:rsid w:val="000E08F0"/>
    <w:rsid w:val="000E3F64"/>
    <w:rsid w:val="000E6C46"/>
    <w:rsid w:val="000E7C5D"/>
    <w:rsid w:val="000F5CD9"/>
    <w:rsid w:val="00105294"/>
    <w:rsid w:val="001054BD"/>
    <w:rsid w:val="00106FBD"/>
    <w:rsid w:val="0011336C"/>
    <w:rsid w:val="001136AD"/>
    <w:rsid w:val="00113A14"/>
    <w:rsid w:val="00115DAB"/>
    <w:rsid w:val="00117A5E"/>
    <w:rsid w:val="001223CB"/>
    <w:rsid w:val="0013007F"/>
    <w:rsid w:val="00132558"/>
    <w:rsid w:val="001347AF"/>
    <w:rsid w:val="00137ED6"/>
    <w:rsid w:val="00142CB8"/>
    <w:rsid w:val="001504A3"/>
    <w:rsid w:val="0015080D"/>
    <w:rsid w:val="00153563"/>
    <w:rsid w:val="00160324"/>
    <w:rsid w:val="00164210"/>
    <w:rsid w:val="00164932"/>
    <w:rsid w:val="00164C19"/>
    <w:rsid w:val="00165973"/>
    <w:rsid w:val="00165FD7"/>
    <w:rsid w:val="00166734"/>
    <w:rsid w:val="0017018D"/>
    <w:rsid w:val="00170969"/>
    <w:rsid w:val="00172D88"/>
    <w:rsid w:val="00174B4E"/>
    <w:rsid w:val="00174E9B"/>
    <w:rsid w:val="001844C2"/>
    <w:rsid w:val="001860EB"/>
    <w:rsid w:val="0019263F"/>
    <w:rsid w:val="00195873"/>
    <w:rsid w:val="00196844"/>
    <w:rsid w:val="001A122D"/>
    <w:rsid w:val="001A6232"/>
    <w:rsid w:val="001A6ED3"/>
    <w:rsid w:val="001A7037"/>
    <w:rsid w:val="001A79AF"/>
    <w:rsid w:val="001B2543"/>
    <w:rsid w:val="001B25DD"/>
    <w:rsid w:val="001C314E"/>
    <w:rsid w:val="001C3E82"/>
    <w:rsid w:val="001C6351"/>
    <w:rsid w:val="001C72C8"/>
    <w:rsid w:val="001D14EE"/>
    <w:rsid w:val="001D2C44"/>
    <w:rsid w:val="001D48E4"/>
    <w:rsid w:val="001D4CF7"/>
    <w:rsid w:val="001D578A"/>
    <w:rsid w:val="001D7005"/>
    <w:rsid w:val="001E2206"/>
    <w:rsid w:val="001E4D23"/>
    <w:rsid w:val="001E6485"/>
    <w:rsid w:val="001E69CE"/>
    <w:rsid w:val="001E6EC5"/>
    <w:rsid w:val="001E7080"/>
    <w:rsid w:val="001F4361"/>
    <w:rsid w:val="001F56AB"/>
    <w:rsid w:val="001F753C"/>
    <w:rsid w:val="00201D6F"/>
    <w:rsid w:val="00206757"/>
    <w:rsid w:val="002104D1"/>
    <w:rsid w:val="00210F56"/>
    <w:rsid w:val="002135CB"/>
    <w:rsid w:val="00215EBC"/>
    <w:rsid w:val="00216DAB"/>
    <w:rsid w:val="00217B85"/>
    <w:rsid w:val="00222ACB"/>
    <w:rsid w:val="00227741"/>
    <w:rsid w:val="002316A0"/>
    <w:rsid w:val="00232EBD"/>
    <w:rsid w:val="00234D96"/>
    <w:rsid w:val="002351B6"/>
    <w:rsid w:val="00236D21"/>
    <w:rsid w:val="00236E07"/>
    <w:rsid w:val="00242515"/>
    <w:rsid w:val="00243733"/>
    <w:rsid w:val="00243A46"/>
    <w:rsid w:val="00245912"/>
    <w:rsid w:val="00246202"/>
    <w:rsid w:val="00246828"/>
    <w:rsid w:val="00247746"/>
    <w:rsid w:val="002512CA"/>
    <w:rsid w:val="00252F79"/>
    <w:rsid w:val="00256ACF"/>
    <w:rsid w:val="002575E5"/>
    <w:rsid w:val="00260E92"/>
    <w:rsid w:val="00261C7B"/>
    <w:rsid w:val="002636A1"/>
    <w:rsid w:val="00263847"/>
    <w:rsid w:val="002640E7"/>
    <w:rsid w:val="002657F9"/>
    <w:rsid w:val="002663A1"/>
    <w:rsid w:val="00276419"/>
    <w:rsid w:val="00281928"/>
    <w:rsid w:val="00281D31"/>
    <w:rsid w:val="00284A64"/>
    <w:rsid w:val="002874A0"/>
    <w:rsid w:val="00291F7D"/>
    <w:rsid w:val="002945A9"/>
    <w:rsid w:val="002A11AD"/>
    <w:rsid w:val="002A21A4"/>
    <w:rsid w:val="002A6D11"/>
    <w:rsid w:val="002B0FE9"/>
    <w:rsid w:val="002C0327"/>
    <w:rsid w:val="002D3AC7"/>
    <w:rsid w:val="002D49D0"/>
    <w:rsid w:val="002D5FDD"/>
    <w:rsid w:val="002E09D0"/>
    <w:rsid w:val="002E18E7"/>
    <w:rsid w:val="002E39AB"/>
    <w:rsid w:val="002E5B1C"/>
    <w:rsid w:val="002E74D1"/>
    <w:rsid w:val="002F0330"/>
    <w:rsid w:val="002F088A"/>
    <w:rsid w:val="002F1EEE"/>
    <w:rsid w:val="002F5F13"/>
    <w:rsid w:val="002F7874"/>
    <w:rsid w:val="00306839"/>
    <w:rsid w:val="0030728D"/>
    <w:rsid w:val="00310CF1"/>
    <w:rsid w:val="00312829"/>
    <w:rsid w:val="00315986"/>
    <w:rsid w:val="00323152"/>
    <w:rsid w:val="003243CB"/>
    <w:rsid w:val="00327591"/>
    <w:rsid w:val="003313E5"/>
    <w:rsid w:val="00332A55"/>
    <w:rsid w:val="00335B26"/>
    <w:rsid w:val="00340C86"/>
    <w:rsid w:val="00350262"/>
    <w:rsid w:val="0036356E"/>
    <w:rsid w:val="0036745D"/>
    <w:rsid w:val="0037145F"/>
    <w:rsid w:val="00372985"/>
    <w:rsid w:val="00376F51"/>
    <w:rsid w:val="00380A56"/>
    <w:rsid w:val="00381997"/>
    <w:rsid w:val="00382D02"/>
    <w:rsid w:val="00382F7D"/>
    <w:rsid w:val="003839AB"/>
    <w:rsid w:val="00384314"/>
    <w:rsid w:val="00384B4A"/>
    <w:rsid w:val="00387F95"/>
    <w:rsid w:val="003903D4"/>
    <w:rsid w:val="003A30CA"/>
    <w:rsid w:val="003A395D"/>
    <w:rsid w:val="003A713F"/>
    <w:rsid w:val="003B453D"/>
    <w:rsid w:val="003B680D"/>
    <w:rsid w:val="003C1792"/>
    <w:rsid w:val="003C1A5F"/>
    <w:rsid w:val="003C2D71"/>
    <w:rsid w:val="003C387E"/>
    <w:rsid w:val="003D49D8"/>
    <w:rsid w:val="003D6DDF"/>
    <w:rsid w:val="003E019E"/>
    <w:rsid w:val="003E1B63"/>
    <w:rsid w:val="003F2CD5"/>
    <w:rsid w:val="003F4B31"/>
    <w:rsid w:val="003F6E61"/>
    <w:rsid w:val="004027CA"/>
    <w:rsid w:val="004034BF"/>
    <w:rsid w:val="00403C49"/>
    <w:rsid w:val="004048CD"/>
    <w:rsid w:val="00407F6D"/>
    <w:rsid w:val="00411DCF"/>
    <w:rsid w:val="00413AAB"/>
    <w:rsid w:val="0042076F"/>
    <w:rsid w:val="00424440"/>
    <w:rsid w:val="00424684"/>
    <w:rsid w:val="00425A40"/>
    <w:rsid w:val="00426455"/>
    <w:rsid w:val="00426831"/>
    <w:rsid w:val="00432970"/>
    <w:rsid w:val="0043392B"/>
    <w:rsid w:val="00433C26"/>
    <w:rsid w:val="004360CE"/>
    <w:rsid w:val="00443F58"/>
    <w:rsid w:val="00444B65"/>
    <w:rsid w:val="004464DA"/>
    <w:rsid w:val="00446585"/>
    <w:rsid w:val="00446603"/>
    <w:rsid w:val="0045033C"/>
    <w:rsid w:val="00451CD1"/>
    <w:rsid w:val="00455EC2"/>
    <w:rsid w:val="00461C8E"/>
    <w:rsid w:val="00461DA4"/>
    <w:rsid w:val="004620C6"/>
    <w:rsid w:val="00477800"/>
    <w:rsid w:val="00486F72"/>
    <w:rsid w:val="00490DB1"/>
    <w:rsid w:val="00490F8D"/>
    <w:rsid w:val="00491D61"/>
    <w:rsid w:val="00497CBA"/>
    <w:rsid w:val="004A1453"/>
    <w:rsid w:val="004A2BCA"/>
    <w:rsid w:val="004A2DFD"/>
    <w:rsid w:val="004A4A5C"/>
    <w:rsid w:val="004A5C8A"/>
    <w:rsid w:val="004A7294"/>
    <w:rsid w:val="004A73D7"/>
    <w:rsid w:val="004B4E4C"/>
    <w:rsid w:val="004C0D02"/>
    <w:rsid w:val="004C163E"/>
    <w:rsid w:val="004C5048"/>
    <w:rsid w:val="004D0ED5"/>
    <w:rsid w:val="004D1772"/>
    <w:rsid w:val="004D1D00"/>
    <w:rsid w:val="004D38B0"/>
    <w:rsid w:val="004D5587"/>
    <w:rsid w:val="004D7FD6"/>
    <w:rsid w:val="004F416C"/>
    <w:rsid w:val="004F6053"/>
    <w:rsid w:val="004F6791"/>
    <w:rsid w:val="004F68D1"/>
    <w:rsid w:val="004F7F24"/>
    <w:rsid w:val="00504214"/>
    <w:rsid w:val="00506432"/>
    <w:rsid w:val="00513456"/>
    <w:rsid w:val="00513B29"/>
    <w:rsid w:val="00513E45"/>
    <w:rsid w:val="00520C9F"/>
    <w:rsid w:val="00522C5D"/>
    <w:rsid w:val="00524F5B"/>
    <w:rsid w:val="005276EE"/>
    <w:rsid w:val="00531A59"/>
    <w:rsid w:val="00532664"/>
    <w:rsid w:val="00533BF5"/>
    <w:rsid w:val="005432B0"/>
    <w:rsid w:val="00543FDB"/>
    <w:rsid w:val="00552504"/>
    <w:rsid w:val="00557582"/>
    <w:rsid w:val="00557B1B"/>
    <w:rsid w:val="0056095B"/>
    <w:rsid w:val="00562E92"/>
    <w:rsid w:val="005630F7"/>
    <w:rsid w:val="00564784"/>
    <w:rsid w:val="005653D3"/>
    <w:rsid w:val="00565DF2"/>
    <w:rsid w:val="00573359"/>
    <w:rsid w:val="005742A1"/>
    <w:rsid w:val="00574392"/>
    <w:rsid w:val="00574A5F"/>
    <w:rsid w:val="0057589A"/>
    <w:rsid w:val="0058005B"/>
    <w:rsid w:val="00581049"/>
    <w:rsid w:val="0058184F"/>
    <w:rsid w:val="00585516"/>
    <w:rsid w:val="005860DD"/>
    <w:rsid w:val="00587F5A"/>
    <w:rsid w:val="00590FBD"/>
    <w:rsid w:val="00595F9E"/>
    <w:rsid w:val="00597069"/>
    <w:rsid w:val="00597574"/>
    <w:rsid w:val="005A005A"/>
    <w:rsid w:val="005A578A"/>
    <w:rsid w:val="005B08DC"/>
    <w:rsid w:val="005B0CD4"/>
    <w:rsid w:val="005B2537"/>
    <w:rsid w:val="005B4338"/>
    <w:rsid w:val="005C6283"/>
    <w:rsid w:val="005C738E"/>
    <w:rsid w:val="005D098D"/>
    <w:rsid w:val="005D24B5"/>
    <w:rsid w:val="005D53DC"/>
    <w:rsid w:val="005D6FDC"/>
    <w:rsid w:val="005E08F3"/>
    <w:rsid w:val="005E4458"/>
    <w:rsid w:val="005E6D03"/>
    <w:rsid w:val="005F40E6"/>
    <w:rsid w:val="0060466C"/>
    <w:rsid w:val="006062E6"/>
    <w:rsid w:val="006115FB"/>
    <w:rsid w:val="006221CE"/>
    <w:rsid w:val="00625BD1"/>
    <w:rsid w:val="00631A53"/>
    <w:rsid w:val="00632DC6"/>
    <w:rsid w:val="006356D4"/>
    <w:rsid w:val="00640696"/>
    <w:rsid w:val="00640C67"/>
    <w:rsid w:val="0064303E"/>
    <w:rsid w:val="00646A7D"/>
    <w:rsid w:val="00647726"/>
    <w:rsid w:val="0065139C"/>
    <w:rsid w:val="00651561"/>
    <w:rsid w:val="006539D7"/>
    <w:rsid w:val="00654E2B"/>
    <w:rsid w:val="00654FAB"/>
    <w:rsid w:val="0066462A"/>
    <w:rsid w:val="00670E69"/>
    <w:rsid w:val="00671923"/>
    <w:rsid w:val="006737F1"/>
    <w:rsid w:val="00674F8C"/>
    <w:rsid w:val="00677073"/>
    <w:rsid w:val="00680075"/>
    <w:rsid w:val="0068051E"/>
    <w:rsid w:val="00680AE2"/>
    <w:rsid w:val="006819C9"/>
    <w:rsid w:val="00681E9A"/>
    <w:rsid w:val="006849B4"/>
    <w:rsid w:val="00684D13"/>
    <w:rsid w:val="00692FBD"/>
    <w:rsid w:val="00694BAE"/>
    <w:rsid w:val="00694F0A"/>
    <w:rsid w:val="0069513B"/>
    <w:rsid w:val="00697C48"/>
    <w:rsid w:val="00697F9D"/>
    <w:rsid w:val="006A26B7"/>
    <w:rsid w:val="006A2F63"/>
    <w:rsid w:val="006B0614"/>
    <w:rsid w:val="006B2481"/>
    <w:rsid w:val="006B4224"/>
    <w:rsid w:val="006B582B"/>
    <w:rsid w:val="006C1DE9"/>
    <w:rsid w:val="006C3609"/>
    <w:rsid w:val="006D0F03"/>
    <w:rsid w:val="006D5180"/>
    <w:rsid w:val="006D552B"/>
    <w:rsid w:val="006E0437"/>
    <w:rsid w:val="006E4E0E"/>
    <w:rsid w:val="006F0261"/>
    <w:rsid w:val="006F3E84"/>
    <w:rsid w:val="006F4B62"/>
    <w:rsid w:val="006F6B32"/>
    <w:rsid w:val="006F7D7A"/>
    <w:rsid w:val="007101FE"/>
    <w:rsid w:val="00710459"/>
    <w:rsid w:val="0071104F"/>
    <w:rsid w:val="007111D7"/>
    <w:rsid w:val="00715C49"/>
    <w:rsid w:val="007216D4"/>
    <w:rsid w:val="00722D13"/>
    <w:rsid w:val="00723B2D"/>
    <w:rsid w:val="00725861"/>
    <w:rsid w:val="0072698D"/>
    <w:rsid w:val="00730619"/>
    <w:rsid w:val="0073064E"/>
    <w:rsid w:val="00734855"/>
    <w:rsid w:val="00736F0E"/>
    <w:rsid w:val="00752C16"/>
    <w:rsid w:val="0075415E"/>
    <w:rsid w:val="00756193"/>
    <w:rsid w:val="007570CA"/>
    <w:rsid w:val="0076180E"/>
    <w:rsid w:val="00764F1F"/>
    <w:rsid w:val="00766000"/>
    <w:rsid w:val="00766902"/>
    <w:rsid w:val="00770ACA"/>
    <w:rsid w:val="00772CEE"/>
    <w:rsid w:val="00773951"/>
    <w:rsid w:val="00774013"/>
    <w:rsid w:val="007753EB"/>
    <w:rsid w:val="007765A6"/>
    <w:rsid w:val="0077686F"/>
    <w:rsid w:val="007810BD"/>
    <w:rsid w:val="00785A11"/>
    <w:rsid w:val="00786388"/>
    <w:rsid w:val="00787D42"/>
    <w:rsid w:val="007942D3"/>
    <w:rsid w:val="00794DD4"/>
    <w:rsid w:val="007A1939"/>
    <w:rsid w:val="007A2CE4"/>
    <w:rsid w:val="007A46FF"/>
    <w:rsid w:val="007A67DF"/>
    <w:rsid w:val="007B1419"/>
    <w:rsid w:val="007B4C60"/>
    <w:rsid w:val="007B58D4"/>
    <w:rsid w:val="007B5D6A"/>
    <w:rsid w:val="007B6676"/>
    <w:rsid w:val="007C224C"/>
    <w:rsid w:val="007C32C6"/>
    <w:rsid w:val="007C34EE"/>
    <w:rsid w:val="007C3990"/>
    <w:rsid w:val="007D21F4"/>
    <w:rsid w:val="007D3092"/>
    <w:rsid w:val="007D42D6"/>
    <w:rsid w:val="007D45E0"/>
    <w:rsid w:val="007D4E8E"/>
    <w:rsid w:val="007D4EB9"/>
    <w:rsid w:val="007E2305"/>
    <w:rsid w:val="007E2828"/>
    <w:rsid w:val="007E5452"/>
    <w:rsid w:val="007E67CD"/>
    <w:rsid w:val="007F2989"/>
    <w:rsid w:val="007F2DD3"/>
    <w:rsid w:val="00801944"/>
    <w:rsid w:val="00801EBD"/>
    <w:rsid w:val="00802182"/>
    <w:rsid w:val="00804496"/>
    <w:rsid w:val="008051E8"/>
    <w:rsid w:val="0080532B"/>
    <w:rsid w:val="00805ACB"/>
    <w:rsid w:val="00806CAF"/>
    <w:rsid w:val="008144E9"/>
    <w:rsid w:val="00816535"/>
    <w:rsid w:val="008264CA"/>
    <w:rsid w:val="00826726"/>
    <w:rsid w:val="0082731D"/>
    <w:rsid w:val="00836C40"/>
    <w:rsid w:val="00837942"/>
    <w:rsid w:val="00837A9B"/>
    <w:rsid w:val="008418CA"/>
    <w:rsid w:val="0084190B"/>
    <w:rsid w:val="0085695C"/>
    <w:rsid w:val="00857F88"/>
    <w:rsid w:val="00862D89"/>
    <w:rsid w:val="00862E5F"/>
    <w:rsid w:val="00864B33"/>
    <w:rsid w:val="0086563B"/>
    <w:rsid w:val="00874244"/>
    <w:rsid w:val="008743DC"/>
    <w:rsid w:val="008763F6"/>
    <w:rsid w:val="008803EF"/>
    <w:rsid w:val="00882028"/>
    <w:rsid w:val="008830E8"/>
    <w:rsid w:val="0089060B"/>
    <w:rsid w:val="00895860"/>
    <w:rsid w:val="008962EA"/>
    <w:rsid w:val="0089648B"/>
    <w:rsid w:val="008A05AA"/>
    <w:rsid w:val="008A30A5"/>
    <w:rsid w:val="008A3333"/>
    <w:rsid w:val="008A7039"/>
    <w:rsid w:val="008A7C4F"/>
    <w:rsid w:val="008A7C64"/>
    <w:rsid w:val="008B1AD5"/>
    <w:rsid w:val="008B418D"/>
    <w:rsid w:val="008B4404"/>
    <w:rsid w:val="008B515B"/>
    <w:rsid w:val="008C0570"/>
    <w:rsid w:val="008C0882"/>
    <w:rsid w:val="008C24A5"/>
    <w:rsid w:val="008C3A8B"/>
    <w:rsid w:val="008D0BCE"/>
    <w:rsid w:val="008D12E3"/>
    <w:rsid w:val="008D43C6"/>
    <w:rsid w:val="008D75E6"/>
    <w:rsid w:val="008E3296"/>
    <w:rsid w:val="008E5C2F"/>
    <w:rsid w:val="008F1922"/>
    <w:rsid w:val="008F4F4E"/>
    <w:rsid w:val="0090010E"/>
    <w:rsid w:val="00902FB3"/>
    <w:rsid w:val="00906CB8"/>
    <w:rsid w:val="0091543E"/>
    <w:rsid w:val="0091663E"/>
    <w:rsid w:val="00916CD4"/>
    <w:rsid w:val="00921A6A"/>
    <w:rsid w:val="0092240B"/>
    <w:rsid w:val="009226A4"/>
    <w:rsid w:val="00923BFA"/>
    <w:rsid w:val="00924C94"/>
    <w:rsid w:val="00931D78"/>
    <w:rsid w:val="0093661F"/>
    <w:rsid w:val="00936B25"/>
    <w:rsid w:val="00936F35"/>
    <w:rsid w:val="0094630B"/>
    <w:rsid w:val="00947355"/>
    <w:rsid w:val="00951D7F"/>
    <w:rsid w:val="00956140"/>
    <w:rsid w:val="00962973"/>
    <w:rsid w:val="00965346"/>
    <w:rsid w:val="00972739"/>
    <w:rsid w:val="00977074"/>
    <w:rsid w:val="00977F37"/>
    <w:rsid w:val="00981833"/>
    <w:rsid w:val="009834F5"/>
    <w:rsid w:val="009836BA"/>
    <w:rsid w:val="00984D70"/>
    <w:rsid w:val="00991A4A"/>
    <w:rsid w:val="009934AB"/>
    <w:rsid w:val="009B35F1"/>
    <w:rsid w:val="009B3CDC"/>
    <w:rsid w:val="009B6F38"/>
    <w:rsid w:val="009B757F"/>
    <w:rsid w:val="009C0918"/>
    <w:rsid w:val="009C0D89"/>
    <w:rsid w:val="009C1F6A"/>
    <w:rsid w:val="009C293B"/>
    <w:rsid w:val="009C2F41"/>
    <w:rsid w:val="009C495E"/>
    <w:rsid w:val="009C7143"/>
    <w:rsid w:val="009D1247"/>
    <w:rsid w:val="009D1F07"/>
    <w:rsid w:val="009D21EC"/>
    <w:rsid w:val="009D4734"/>
    <w:rsid w:val="009E35D2"/>
    <w:rsid w:val="009E70EB"/>
    <w:rsid w:val="009F10B6"/>
    <w:rsid w:val="009F24FA"/>
    <w:rsid w:val="00A146B5"/>
    <w:rsid w:val="00A156A9"/>
    <w:rsid w:val="00A15F47"/>
    <w:rsid w:val="00A21F0C"/>
    <w:rsid w:val="00A26F1C"/>
    <w:rsid w:val="00A275D1"/>
    <w:rsid w:val="00A33331"/>
    <w:rsid w:val="00A53909"/>
    <w:rsid w:val="00A55705"/>
    <w:rsid w:val="00A558F5"/>
    <w:rsid w:val="00A56178"/>
    <w:rsid w:val="00A562A1"/>
    <w:rsid w:val="00A565DF"/>
    <w:rsid w:val="00A57BFF"/>
    <w:rsid w:val="00A60278"/>
    <w:rsid w:val="00A602E4"/>
    <w:rsid w:val="00A650E0"/>
    <w:rsid w:val="00A67926"/>
    <w:rsid w:val="00A778BA"/>
    <w:rsid w:val="00A82290"/>
    <w:rsid w:val="00A839DB"/>
    <w:rsid w:val="00A85330"/>
    <w:rsid w:val="00AA6680"/>
    <w:rsid w:val="00AA68DE"/>
    <w:rsid w:val="00AB2107"/>
    <w:rsid w:val="00AB6D2E"/>
    <w:rsid w:val="00AB7069"/>
    <w:rsid w:val="00AB7097"/>
    <w:rsid w:val="00AB7CFB"/>
    <w:rsid w:val="00AC03FE"/>
    <w:rsid w:val="00AC318F"/>
    <w:rsid w:val="00AC321E"/>
    <w:rsid w:val="00AD1FAB"/>
    <w:rsid w:val="00AD2231"/>
    <w:rsid w:val="00AD45FB"/>
    <w:rsid w:val="00AD5743"/>
    <w:rsid w:val="00AD5EDF"/>
    <w:rsid w:val="00AD6C69"/>
    <w:rsid w:val="00AE0442"/>
    <w:rsid w:val="00AE27DB"/>
    <w:rsid w:val="00AE281E"/>
    <w:rsid w:val="00AF0615"/>
    <w:rsid w:val="00AF32F8"/>
    <w:rsid w:val="00AF589D"/>
    <w:rsid w:val="00AF5F58"/>
    <w:rsid w:val="00B0255A"/>
    <w:rsid w:val="00B02C7B"/>
    <w:rsid w:val="00B038E7"/>
    <w:rsid w:val="00B0402A"/>
    <w:rsid w:val="00B05DF6"/>
    <w:rsid w:val="00B149AD"/>
    <w:rsid w:val="00B16D4E"/>
    <w:rsid w:val="00B2559C"/>
    <w:rsid w:val="00B26E35"/>
    <w:rsid w:val="00B310AC"/>
    <w:rsid w:val="00B32DB5"/>
    <w:rsid w:val="00B346D0"/>
    <w:rsid w:val="00B40738"/>
    <w:rsid w:val="00B40AF1"/>
    <w:rsid w:val="00B4328B"/>
    <w:rsid w:val="00B47174"/>
    <w:rsid w:val="00B52997"/>
    <w:rsid w:val="00B52C3D"/>
    <w:rsid w:val="00B56859"/>
    <w:rsid w:val="00B56DBA"/>
    <w:rsid w:val="00B648BD"/>
    <w:rsid w:val="00B66780"/>
    <w:rsid w:val="00B677F3"/>
    <w:rsid w:val="00B72875"/>
    <w:rsid w:val="00B8095E"/>
    <w:rsid w:val="00B84E35"/>
    <w:rsid w:val="00B85B5D"/>
    <w:rsid w:val="00B86EEF"/>
    <w:rsid w:val="00B910CC"/>
    <w:rsid w:val="00B9171F"/>
    <w:rsid w:val="00B973A7"/>
    <w:rsid w:val="00BA026A"/>
    <w:rsid w:val="00BA0FBA"/>
    <w:rsid w:val="00BB36CF"/>
    <w:rsid w:val="00BB4884"/>
    <w:rsid w:val="00BB6C04"/>
    <w:rsid w:val="00BC2F81"/>
    <w:rsid w:val="00BC3BD4"/>
    <w:rsid w:val="00BC3F56"/>
    <w:rsid w:val="00BC5B94"/>
    <w:rsid w:val="00BC600A"/>
    <w:rsid w:val="00BD29E8"/>
    <w:rsid w:val="00BD366A"/>
    <w:rsid w:val="00BD6BE9"/>
    <w:rsid w:val="00BD6C7D"/>
    <w:rsid w:val="00BD7988"/>
    <w:rsid w:val="00BE0BA0"/>
    <w:rsid w:val="00BE52C5"/>
    <w:rsid w:val="00BE5447"/>
    <w:rsid w:val="00BE5F48"/>
    <w:rsid w:val="00BF1293"/>
    <w:rsid w:val="00BF434A"/>
    <w:rsid w:val="00C134A6"/>
    <w:rsid w:val="00C16C94"/>
    <w:rsid w:val="00C209C1"/>
    <w:rsid w:val="00C20AE8"/>
    <w:rsid w:val="00C22635"/>
    <w:rsid w:val="00C22B6A"/>
    <w:rsid w:val="00C236A9"/>
    <w:rsid w:val="00C23774"/>
    <w:rsid w:val="00C268E5"/>
    <w:rsid w:val="00C27FF7"/>
    <w:rsid w:val="00C34085"/>
    <w:rsid w:val="00C36F62"/>
    <w:rsid w:val="00C4011B"/>
    <w:rsid w:val="00C45A5C"/>
    <w:rsid w:val="00C52B62"/>
    <w:rsid w:val="00C55745"/>
    <w:rsid w:val="00C60F7A"/>
    <w:rsid w:val="00C61386"/>
    <w:rsid w:val="00C63C76"/>
    <w:rsid w:val="00C65AE1"/>
    <w:rsid w:val="00C72CA4"/>
    <w:rsid w:val="00C74563"/>
    <w:rsid w:val="00C74BBF"/>
    <w:rsid w:val="00C81224"/>
    <w:rsid w:val="00C82686"/>
    <w:rsid w:val="00C85687"/>
    <w:rsid w:val="00C85891"/>
    <w:rsid w:val="00C90AAC"/>
    <w:rsid w:val="00C90FB0"/>
    <w:rsid w:val="00C91E0E"/>
    <w:rsid w:val="00CA44FC"/>
    <w:rsid w:val="00CB0F68"/>
    <w:rsid w:val="00CB3554"/>
    <w:rsid w:val="00CB4A08"/>
    <w:rsid w:val="00CB4B88"/>
    <w:rsid w:val="00CB7C77"/>
    <w:rsid w:val="00CC096C"/>
    <w:rsid w:val="00CC5BAB"/>
    <w:rsid w:val="00CC6E3E"/>
    <w:rsid w:val="00CC7116"/>
    <w:rsid w:val="00CD0E44"/>
    <w:rsid w:val="00CD45E2"/>
    <w:rsid w:val="00CD525C"/>
    <w:rsid w:val="00CD60DB"/>
    <w:rsid w:val="00CE2FC4"/>
    <w:rsid w:val="00CE53B4"/>
    <w:rsid w:val="00CE6137"/>
    <w:rsid w:val="00CE6569"/>
    <w:rsid w:val="00CF1B13"/>
    <w:rsid w:val="00CF32FE"/>
    <w:rsid w:val="00CF4F08"/>
    <w:rsid w:val="00CF6169"/>
    <w:rsid w:val="00CF7201"/>
    <w:rsid w:val="00CF7209"/>
    <w:rsid w:val="00CF7C8F"/>
    <w:rsid w:val="00D02102"/>
    <w:rsid w:val="00D02699"/>
    <w:rsid w:val="00D03C17"/>
    <w:rsid w:val="00D047B0"/>
    <w:rsid w:val="00D04AE7"/>
    <w:rsid w:val="00D13B2F"/>
    <w:rsid w:val="00D15BC7"/>
    <w:rsid w:val="00D16472"/>
    <w:rsid w:val="00D20036"/>
    <w:rsid w:val="00D219AE"/>
    <w:rsid w:val="00D224DC"/>
    <w:rsid w:val="00D2308E"/>
    <w:rsid w:val="00D2422E"/>
    <w:rsid w:val="00D26E77"/>
    <w:rsid w:val="00D27C88"/>
    <w:rsid w:val="00D344AF"/>
    <w:rsid w:val="00D346C0"/>
    <w:rsid w:val="00D355DD"/>
    <w:rsid w:val="00D3767A"/>
    <w:rsid w:val="00D45570"/>
    <w:rsid w:val="00D5184C"/>
    <w:rsid w:val="00D5522D"/>
    <w:rsid w:val="00D605F5"/>
    <w:rsid w:val="00D623B0"/>
    <w:rsid w:val="00D65D64"/>
    <w:rsid w:val="00D66CA0"/>
    <w:rsid w:val="00D66DFE"/>
    <w:rsid w:val="00D670FB"/>
    <w:rsid w:val="00D71D55"/>
    <w:rsid w:val="00D74F87"/>
    <w:rsid w:val="00D7584B"/>
    <w:rsid w:val="00D77382"/>
    <w:rsid w:val="00D818E0"/>
    <w:rsid w:val="00D821F0"/>
    <w:rsid w:val="00D82C65"/>
    <w:rsid w:val="00D834DA"/>
    <w:rsid w:val="00D84D90"/>
    <w:rsid w:val="00D94D16"/>
    <w:rsid w:val="00D9597B"/>
    <w:rsid w:val="00DB1558"/>
    <w:rsid w:val="00DB31C1"/>
    <w:rsid w:val="00DB4051"/>
    <w:rsid w:val="00DB7828"/>
    <w:rsid w:val="00DC1D21"/>
    <w:rsid w:val="00DC20E4"/>
    <w:rsid w:val="00DC24D9"/>
    <w:rsid w:val="00DC2FA6"/>
    <w:rsid w:val="00DC51DE"/>
    <w:rsid w:val="00DC5F0B"/>
    <w:rsid w:val="00DD0358"/>
    <w:rsid w:val="00DD1A1D"/>
    <w:rsid w:val="00DD2897"/>
    <w:rsid w:val="00DD2A82"/>
    <w:rsid w:val="00DD56B1"/>
    <w:rsid w:val="00DD6CB4"/>
    <w:rsid w:val="00DD7C84"/>
    <w:rsid w:val="00DE2418"/>
    <w:rsid w:val="00DE3855"/>
    <w:rsid w:val="00DF0D9D"/>
    <w:rsid w:val="00DF1353"/>
    <w:rsid w:val="00DF41AC"/>
    <w:rsid w:val="00E00C3D"/>
    <w:rsid w:val="00E00E83"/>
    <w:rsid w:val="00E0636E"/>
    <w:rsid w:val="00E06AB2"/>
    <w:rsid w:val="00E10D17"/>
    <w:rsid w:val="00E13671"/>
    <w:rsid w:val="00E14EC6"/>
    <w:rsid w:val="00E16B97"/>
    <w:rsid w:val="00E17F76"/>
    <w:rsid w:val="00E22B4D"/>
    <w:rsid w:val="00E23EA7"/>
    <w:rsid w:val="00E244F4"/>
    <w:rsid w:val="00E26959"/>
    <w:rsid w:val="00E31939"/>
    <w:rsid w:val="00E31D64"/>
    <w:rsid w:val="00E3215F"/>
    <w:rsid w:val="00E32AEE"/>
    <w:rsid w:val="00E33440"/>
    <w:rsid w:val="00E42B29"/>
    <w:rsid w:val="00E52DB0"/>
    <w:rsid w:val="00E567A2"/>
    <w:rsid w:val="00E644D1"/>
    <w:rsid w:val="00E67877"/>
    <w:rsid w:val="00E77A40"/>
    <w:rsid w:val="00E807DC"/>
    <w:rsid w:val="00E808FB"/>
    <w:rsid w:val="00E82C47"/>
    <w:rsid w:val="00E83177"/>
    <w:rsid w:val="00E84AB4"/>
    <w:rsid w:val="00E913D5"/>
    <w:rsid w:val="00E9256F"/>
    <w:rsid w:val="00E95285"/>
    <w:rsid w:val="00E960FE"/>
    <w:rsid w:val="00EA0C3B"/>
    <w:rsid w:val="00EA62D0"/>
    <w:rsid w:val="00EB024A"/>
    <w:rsid w:val="00EB38A4"/>
    <w:rsid w:val="00EB392E"/>
    <w:rsid w:val="00EB688F"/>
    <w:rsid w:val="00EC01B6"/>
    <w:rsid w:val="00EC0CCA"/>
    <w:rsid w:val="00EC616E"/>
    <w:rsid w:val="00EC6EB6"/>
    <w:rsid w:val="00ED5B6F"/>
    <w:rsid w:val="00EF1A11"/>
    <w:rsid w:val="00EF1B16"/>
    <w:rsid w:val="00EF66DC"/>
    <w:rsid w:val="00EF6BB6"/>
    <w:rsid w:val="00EF7814"/>
    <w:rsid w:val="00F04695"/>
    <w:rsid w:val="00F05D75"/>
    <w:rsid w:val="00F1110F"/>
    <w:rsid w:val="00F11FAA"/>
    <w:rsid w:val="00F21106"/>
    <w:rsid w:val="00F27AD4"/>
    <w:rsid w:val="00F31474"/>
    <w:rsid w:val="00F35315"/>
    <w:rsid w:val="00F357C3"/>
    <w:rsid w:val="00F36409"/>
    <w:rsid w:val="00F414D2"/>
    <w:rsid w:val="00F5370E"/>
    <w:rsid w:val="00F5413E"/>
    <w:rsid w:val="00F5711F"/>
    <w:rsid w:val="00F628AA"/>
    <w:rsid w:val="00F64E15"/>
    <w:rsid w:val="00F64E97"/>
    <w:rsid w:val="00F64F5F"/>
    <w:rsid w:val="00F65D6B"/>
    <w:rsid w:val="00F660DD"/>
    <w:rsid w:val="00F73C77"/>
    <w:rsid w:val="00F755A0"/>
    <w:rsid w:val="00F76A61"/>
    <w:rsid w:val="00F81F8C"/>
    <w:rsid w:val="00F83711"/>
    <w:rsid w:val="00F90806"/>
    <w:rsid w:val="00F939FC"/>
    <w:rsid w:val="00FA453F"/>
    <w:rsid w:val="00FA5878"/>
    <w:rsid w:val="00FA6DC8"/>
    <w:rsid w:val="00FB0F68"/>
    <w:rsid w:val="00FB26CE"/>
    <w:rsid w:val="00FB3D81"/>
    <w:rsid w:val="00FB606C"/>
    <w:rsid w:val="00FB6135"/>
    <w:rsid w:val="00FC4CB1"/>
    <w:rsid w:val="00FC4F47"/>
    <w:rsid w:val="00FC6BB8"/>
    <w:rsid w:val="00FD025F"/>
    <w:rsid w:val="00FD0340"/>
    <w:rsid w:val="00FD2F21"/>
    <w:rsid w:val="00FD3189"/>
    <w:rsid w:val="00FD5B46"/>
    <w:rsid w:val="00FE15A8"/>
    <w:rsid w:val="00FE55F6"/>
    <w:rsid w:val="00FE7776"/>
    <w:rsid w:val="00FE7EA0"/>
    <w:rsid w:val="00FF07F1"/>
    <w:rsid w:val="00FF2FE6"/>
    <w:rsid w:val="00FF7169"/>
    <w:rsid w:val="2156E3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79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680"/>
    <w:rPr>
      <w:sz w:val="24"/>
      <w:szCs w:val="24"/>
    </w:rPr>
  </w:style>
  <w:style w:type="paragraph" w:styleId="Heading1">
    <w:name w:val="heading 1"/>
    <w:basedOn w:val="Normal"/>
    <w:next w:val="Normal"/>
    <w:link w:val="Heading1Char"/>
    <w:uiPriority w:val="9"/>
    <w:qFormat/>
    <w:rsid w:val="000D1C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062E6"/>
    <w:pPr>
      <w:keepNext/>
      <w:outlineLvl w:val="1"/>
    </w:pPr>
    <w:rPr>
      <w:b/>
      <w:bCs/>
      <w:lang w:val="en-US" w:eastAsia="en-US"/>
    </w:rPr>
  </w:style>
  <w:style w:type="paragraph" w:styleId="Heading4">
    <w:name w:val="heading 4"/>
    <w:basedOn w:val="Normal"/>
    <w:next w:val="Normal"/>
    <w:link w:val="Heading4Char"/>
    <w:uiPriority w:val="9"/>
    <w:semiHidden/>
    <w:unhideWhenUsed/>
    <w:qFormat/>
    <w:rsid w:val="000D1C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2829"/>
    <w:rPr>
      <w:color w:val="0000FF"/>
      <w:u w:val="single"/>
    </w:rPr>
  </w:style>
  <w:style w:type="paragraph" w:styleId="FootnoteText">
    <w:name w:val="footnote text"/>
    <w:aliases w:val="Footnote Text Char2 Char,Footnote Text Char1 Char Char2,Footnote Text Char Char Char Char2,Footnote Text Char2 Char Char Char Char1,Footnote Text Char1 Char Char Char Char Char1,Footnote Text Char2,Footnote Text Char Char Char"/>
    <w:basedOn w:val="Normal"/>
    <w:link w:val="FootnoteTextChar"/>
    <w:rsid w:val="008A05AA"/>
    <w:rPr>
      <w:sz w:val="20"/>
      <w:szCs w:val="20"/>
    </w:rPr>
  </w:style>
  <w:style w:type="character" w:styleId="FootnoteReference">
    <w:name w:val="footnote reference"/>
    <w:basedOn w:val="DefaultParagraphFont"/>
    <w:uiPriority w:val="99"/>
    <w:rsid w:val="008A05AA"/>
    <w:rPr>
      <w:vertAlign w:val="superscript"/>
    </w:rPr>
  </w:style>
  <w:style w:type="character" w:styleId="CommentReference">
    <w:name w:val="annotation reference"/>
    <w:basedOn w:val="DefaultParagraphFont"/>
    <w:semiHidden/>
    <w:rsid w:val="006356D4"/>
    <w:rPr>
      <w:sz w:val="16"/>
      <w:szCs w:val="16"/>
    </w:rPr>
  </w:style>
  <w:style w:type="paragraph" w:styleId="CommentText">
    <w:name w:val="annotation text"/>
    <w:basedOn w:val="Normal"/>
    <w:semiHidden/>
    <w:rsid w:val="006356D4"/>
    <w:rPr>
      <w:sz w:val="20"/>
      <w:szCs w:val="20"/>
    </w:rPr>
  </w:style>
  <w:style w:type="paragraph" w:styleId="CommentSubject">
    <w:name w:val="annotation subject"/>
    <w:basedOn w:val="CommentText"/>
    <w:next w:val="CommentText"/>
    <w:semiHidden/>
    <w:rsid w:val="006356D4"/>
    <w:rPr>
      <w:b/>
      <w:bCs/>
    </w:rPr>
  </w:style>
  <w:style w:type="paragraph" w:styleId="BalloonText">
    <w:name w:val="Balloon Text"/>
    <w:basedOn w:val="Normal"/>
    <w:semiHidden/>
    <w:rsid w:val="006356D4"/>
    <w:rPr>
      <w:rFonts w:ascii="Tahoma" w:hAnsi="Tahoma" w:cs="Tahoma"/>
      <w:sz w:val="16"/>
      <w:szCs w:val="16"/>
    </w:rPr>
  </w:style>
  <w:style w:type="paragraph" w:styleId="Header">
    <w:name w:val="header"/>
    <w:basedOn w:val="Normal"/>
    <w:rsid w:val="00801EBD"/>
    <w:pPr>
      <w:tabs>
        <w:tab w:val="center" w:pos="4153"/>
        <w:tab w:val="right" w:pos="8306"/>
      </w:tabs>
    </w:pPr>
  </w:style>
  <w:style w:type="paragraph" w:styleId="Footer">
    <w:name w:val="footer"/>
    <w:basedOn w:val="Normal"/>
    <w:link w:val="FooterChar"/>
    <w:uiPriority w:val="99"/>
    <w:rsid w:val="00801EBD"/>
    <w:pPr>
      <w:tabs>
        <w:tab w:val="center" w:pos="4153"/>
        <w:tab w:val="right" w:pos="8306"/>
      </w:tabs>
    </w:pPr>
  </w:style>
  <w:style w:type="character" w:customStyle="1" w:styleId="FooterChar">
    <w:name w:val="Footer Char"/>
    <w:basedOn w:val="DefaultParagraphFont"/>
    <w:link w:val="Footer"/>
    <w:uiPriority w:val="99"/>
    <w:rsid w:val="004620C6"/>
    <w:rPr>
      <w:sz w:val="24"/>
      <w:szCs w:val="24"/>
    </w:rPr>
  </w:style>
  <w:style w:type="character" w:customStyle="1" w:styleId="Heading2Char">
    <w:name w:val="Heading 2 Char"/>
    <w:basedOn w:val="DefaultParagraphFont"/>
    <w:link w:val="Heading2"/>
    <w:rsid w:val="006062E6"/>
    <w:rPr>
      <w:b/>
      <w:bCs/>
      <w:sz w:val="24"/>
      <w:szCs w:val="24"/>
      <w:lang w:val="en-US" w:eastAsia="en-US"/>
    </w:rPr>
  </w:style>
  <w:style w:type="paragraph" w:styleId="EndnoteText">
    <w:name w:val="endnote text"/>
    <w:basedOn w:val="Normal"/>
    <w:link w:val="EndnoteTextChar"/>
    <w:uiPriority w:val="99"/>
    <w:semiHidden/>
    <w:unhideWhenUsed/>
    <w:rsid w:val="00403C49"/>
    <w:rPr>
      <w:sz w:val="20"/>
      <w:szCs w:val="20"/>
    </w:rPr>
  </w:style>
  <w:style w:type="character" w:customStyle="1" w:styleId="EndnoteTextChar">
    <w:name w:val="Endnote Text Char"/>
    <w:basedOn w:val="DefaultParagraphFont"/>
    <w:link w:val="EndnoteText"/>
    <w:uiPriority w:val="99"/>
    <w:semiHidden/>
    <w:rsid w:val="00403C49"/>
  </w:style>
  <w:style w:type="character" w:styleId="EndnoteReference">
    <w:name w:val="endnote reference"/>
    <w:basedOn w:val="DefaultParagraphFont"/>
    <w:uiPriority w:val="99"/>
    <w:semiHidden/>
    <w:unhideWhenUsed/>
    <w:rsid w:val="00403C49"/>
    <w:rPr>
      <w:vertAlign w:val="superscript"/>
    </w:rPr>
  </w:style>
  <w:style w:type="paragraph" w:styleId="ListParagraph">
    <w:name w:val="List Paragraph"/>
    <w:basedOn w:val="Normal"/>
    <w:uiPriority w:val="34"/>
    <w:qFormat/>
    <w:rsid w:val="0030728D"/>
    <w:pPr>
      <w:ind w:left="720"/>
      <w:contextualSpacing/>
    </w:pPr>
  </w:style>
  <w:style w:type="character" w:styleId="FollowedHyperlink">
    <w:name w:val="FollowedHyperlink"/>
    <w:basedOn w:val="DefaultParagraphFont"/>
    <w:uiPriority w:val="99"/>
    <w:semiHidden/>
    <w:unhideWhenUsed/>
    <w:rsid w:val="00281928"/>
    <w:rPr>
      <w:color w:val="800080" w:themeColor="followedHyperlink"/>
      <w:u w:val="single"/>
    </w:rPr>
  </w:style>
  <w:style w:type="character" w:customStyle="1" w:styleId="FootnoteTextChar">
    <w:name w:val="Footnote Text Char"/>
    <w:aliases w:val="Footnote Text Char2 Char Char,Footnote Text Char1 Char Char2 Char,Footnote Text Char Char Char Char2 Char,Footnote Text Char2 Char Char Char Char1 Char,Footnote Text Char1 Char Char Char Char Char1 Char,Footnote Text Char2 Char1"/>
    <w:basedOn w:val="DefaultParagraphFont"/>
    <w:link w:val="FootnoteText"/>
    <w:rsid w:val="00E00C3D"/>
  </w:style>
  <w:style w:type="paragraph" w:customStyle="1" w:styleId="Default">
    <w:name w:val="Default"/>
    <w:rsid w:val="00D94D1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AF5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B910CC"/>
  </w:style>
  <w:style w:type="character" w:styleId="Emphasis">
    <w:name w:val="Emphasis"/>
    <w:basedOn w:val="DefaultParagraphFont"/>
    <w:uiPriority w:val="20"/>
    <w:qFormat/>
    <w:rsid w:val="0056095B"/>
    <w:rPr>
      <w:i/>
      <w:iCs/>
    </w:rPr>
  </w:style>
  <w:style w:type="character" w:customStyle="1" w:styleId="A4">
    <w:name w:val="A4"/>
    <w:uiPriority w:val="99"/>
    <w:rsid w:val="00AA68DE"/>
    <w:rPr>
      <w:rFonts w:cs="Stag Sans Light"/>
      <w:color w:val="000000"/>
      <w:sz w:val="20"/>
      <w:szCs w:val="20"/>
    </w:rPr>
  </w:style>
  <w:style w:type="paragraph" w:customStyle="1" w:styleId="suggested-citation">
    <w:name w:val="suggested-citation"/>
    <w:basedOn w:val="Normal"/>
    <w:rsid w:val="003B680D"/>
    <w:pPr>
      <w:spacing w:before="100" w:beforeAutospacing="1" w:after="100" w:afterAutospacing="1"/>
    </w:pPr>
  </w:style>
  <w:style w:type="character" w:customStyle="1" w:styleId="Heading4Char">
    <w:name w:val="Heading 4 Char"/>
    <w:basedOn w:val="DefaultParagraphFont"/>
    <w:link w:val="Heading4"/>
    <w:uiPriority w:val="9"/>
    <w:semiHidden/>
    <w:rsid w:val="000D1C06"/>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0D1C06"/>
    <w:pPr>
      <w:spacing w:before="100" w:beforeAutospacing="1" w:after="100" w:afterAutospacing="1"/>
    </w:pPr>
    <w:rPr>
      <w:lang w:val="en-GB" w:eastAsia="en-GB"/>
    </w:rPr>
  </w:style>
  <w:style w:type="character" w:customStyle="1" w:styleId="Heading1Char">
    <w:name w:val="Heading 1 Char"/>
    <w:basedOn w:val="DefaultParagraphFont"/>
    <w:link w:val="Heading1"/>
    <w:uiPriority w:val="9"/>
    <w:rsid w:val="000D1C06"/>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461C8E"/>
    <w:rPr>
      <w:color w:val="808080"/>
      <w:shd w:val="clear" w:color="auto" w:fill="E6E6E6"/>
    </w:rPr>
  </w:style>
  <w:style w:type="paragraph" w:styleId="Title">
    <w:name w:val="Title"/>
    <w:basedOn w:val="Normal"/>
    <w:next w:val="Normal"/>
    <w:link w:val="TitleChar"/>
    <w:uiPriority w:val="10"/>
    <w:qFormat/>
    <w:rsid w:val="009770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7074"/>
    <w:rPr>
      <w:rFonts w:asciiTheme="majorHAnsi" w:eastAsiaTheme="majorEastAsia" w:hAnsiTheme="majorHAnsi" w:cstheme="majorBidi"/>
      <w:spacing w:val="-10"/>
      <w:kern w:val="28"/>
      <w:sz w:val="56"/>
      <w:szCs w:val="56"/>
    </w:rPr>
  </w:style>
  <w:style w:type="paragraph" w:customStyle="1" w:styleId="subsection">
    <w:name w:val="subsection"/>
    <w:basedOn w:val="Normal"/>
    <w:rsid w:val="002A11AD"/>
    <w:pPr>
      <w:spacing w:before="100" w:beforeAutospacing="1" w:after="100" w:afterAutospacing="1"/>
    </w:pPr>
    <w:rPr>
      <w:lang w:val="en-GB" w:eastAsia="en-GB"/>
    </w:rPr>
  </w:style>
  <w:style w:type="paragraph" w:customStyle="1" w:styleId="paragraph">
    <w:name w:val="paragraph"/>
    <w:basedOn w:val="Normal"/>
    <w:rsid w:val="002A11AD"/>
    <w:pPr>
      <w:spacing w:before="100" w:beforeAutospacing="1" w:after="100" w:afterAutospacing="1"/>
    </w:pPr>
    <w:rPr>
      <w:lang w:val="en-GB" w:eastAsia="en-GB"/>
    </w:rPr>
  </w:style>
  <w:style w:type="paragraph" w:customStyle="1" w:styleId="acthead5">
    <w:name w:val="acthead5"/>
    <w:basedOn w:val="Normal"/>
    <w:rsid w:val="00F27AD4"/>
    <w:pPr>
      <w:spacing w:before="100" w:beforeAutospacing="1" w:after="100" w:afterAutospacing="1"/>
    </w:pPr>
    <w:rPr>
      <w:lang w:val="en-GB" w:eastAsia="en-GB"/>
    </w:rPr>
  </w:style>
  <w:style w:type="character" w:customStyle="1" w:styleId="charsectno">
    <w:name w:val="charsectno"/>
    <w:basedOn w:val="DefaultParagraphFont"/>
    <w:rsid w:val="00F27AD4"/>
  </w:style>
  <w:style w:type="paragraph" w:customStyle="1" w:styleId="definition">
    <w:name w:val="definition"/>
    <w:basedOn w:val="Normal"/>
    <w:rsid w:val="00F27AD4"/>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680"/>
    <w:rPr>
      <w:sz w:val="24"/>
      <w:szCs w:val="24"/>
    </w:rPr>
  </w:style>
  <w:style w:type="paragraph" w:styleId="Heading1">
    <w:name w:val="heading 1"/>
    <w:basedOn w:val="Normal"/>
    <w:next w:val="Normal"/>
    <w:link w:val="Heading1Char"/>
    <w:uiPriority w:val="9"/>
    <w:qFormat/>
    <w:rsid w:val="000D1C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062E6"/>
    <w:pPr>
      <w:keepNext/>
      <w:outlineLvl w:val="1"/>
    </w:pPr>
    <w:rPr>
      <w:b/>
      <w:bCs/>
      <w:lang w:val="en-US" w:eastAsia="en-US"/>
    </w:rPr>
  </w:style>
  <w:style w:type="paragraph" w:styleId="Heading4">
    <w:name w:val="heading 4"/>
    <w:basedOn w:val="Normal"/>
    <w:next w:val="Normal"/>
    <w:link w:val="Heading4Char"/>
    <w:uiPriority w:val="9"/>
    <w:semiHidden/>
    <w:unhideWhenUsed/>
    <w:qFormat/>
    <w:rsid w:val="000D1C0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2829"/>
    <w:rPr>
      <w:color w:val="0000FF"/>
      <w:u w:val="single"/>
    </w:rPr>
  </w:style>
  <w:style w:type="paragraph" w:styleId="FootnoteText">
    <w:name w:val="footnote text"/>
    <w:aliases w:val="Footnote Text Char2 Char,Footnote Text Char1 Char Char2,Footnote Text Char Char Char Char2,Footnote Text Char2 Char Char Char Char1,Footnote Text Char1 Char Char Char Char Char1,Footnote Text Char2,Footnote Text Char Char Char"/>
    <w:basedOn w:val="Normal"/>
    <w:link w:val="FootnoteTextChar"/>
    <w:rsid w:val="008A05AA"/>
    <w:rPr>
      <w:sz w:val="20"/>
      <w:szCs w:val="20"/>
    </w:rPr>
  </w:style>
  <w:style w:type="character" w:styleId="FootnoteReference">
    <w:name w:val="footnote reference"/>
    <w:basedOn w:val="DefaultParagraphFont"/>
    <w:uiPriority w:val="99"/>
    <w:rsid w:val="008A05AA"/>
    <w:rPr>
      <w:vertAlign w:val="superscript"/>
    </w:rPr>
  </w:style>
  <w:style w:type="character" w:styleId="CommentReference">
    <w:name w:val="annotation reference"/>
    <w:basedOn w:val="DefaultParagraphFont"/>
    <w:semiHidden/>
    <w:rsid w:val="006356D4"/>
    <w:rPr>
      <w:sz w:val="16"/>
      <w:szCs w:val="16"/>
    </w:rPr>
  </w:style>
  <w:style w:type="paragraph" w:styleId="CommentText">
    <w:name w:val="annotation text"/>
    <w:basedOn w:val="Normal"/>
    <w:semiHidden/>
    <w:rsid w:val="006356D4"/>
    <w:rPr>
      <w:sz w:val="20"/>
      <w:szCs w:val="20"/>
    </w:rPr>
  </w:style>
  <w:style w:type="paragraph" w:styleId="CommentSubject">
    <w:name w:val="annotation subject"/>
    <w:basedOn w:val="CommentText"/>
    <w:next w:val="CommentText"/>
    <w:semiHidden/>
    <w:rsid w:val="006356D4"/>
    <w:rPr>
      <w:b/>
      <w:bCs/>
    </w:rPr>
  </w:style>
  <w:style w:type="paragraph" w:styleId="BalloonText">
    <w:name w:val="Balloon Text"/>
    <w:basedOn w:val="Normal"/>
    <w:semiHidden/>
    <w:rsid w:val="006356D4"/>
    <w:rPr>
      <w:rFonts w:ascii="Tahoma" w:hAnsi="Tahoma" w:cs="Tahoma"/>
      <w:sz w:val="16"/>
      <w:szCs w:val="16"/>
    </w:rPr>
  </w:style>
  <w:style w:type="paragraph" w:styleId="Header">
    <w:name w:val="header"/>
    <w:basedOn w:val="Normal"/>
    <w:rsid w:val="00801EBD"/>
    <w:pPr>
      <w:tabs>
        <w:tab w:val="center" w:pos="4153"/>
        <w:tab w:val="right" w:pos="8306"/>
      </w:tabs>
    </w:pPr>
  </w:style>
  <w:style w:type="paragraph" w:styleId="Footer">
    <w:name w:val="footer"/>
    <w:basedOn w:val="Normal"/>
    <w:link w:val="FooterChar"/>
    <w:uiPriority w:val="99"/>
    <w:rsid w:val="00801EBD"/>
    <w:pPr>
      <w:tabs>
        <w:tab w:val="center" w:pos="4153"/>
        <w:tab w:val="right" w:pos="8306"/>
      </w:tabs>
    </w:pPr>
  </w:style>
  <w:style w:type="character" w:customStyle="1" w:styleId="FooterChar">
    <w:name w:val="Footer Char"/>
    <w:basedOn w:val="DefaultParagraphFont"/>
    <w:link w:val="Footer"/>
    <w:uiPriority w:val="99"/>
    <w:rsid w:val="004620C6"/>
    <w:rPr>
      <w:sz w:val="24"/>
      <w:szCs w:val="24"/>
    </w:rPr>
  </w:style>
  <w:style w:type="character" w:customStyle="1" w:styleId="Heading2Char">
    <w:name w:val="Heading 2 Char"/>
    <w:basedOn w:val="DefaultParagraphFont"/>
    <w:link w:val="Heading2"/>
    <w:rsid w:val="006062E6"/>
    <w:rPr>
      <w:b/>
      <w:bCs/>
      <w:sz w:val="24"/>
      <w:szCs w:val="24"/>
      <w:lang w:val="en-US" w:eastAsia="en-US"/>
    </w:rPr>
  </w:style>
  <w:style w:type="paragraph" w:styleId="EndnoteText">
    <w:name w:val="endnote text"/>
    <w:basedOn w:val="Normal"/>
    <w:link w:val="EndnoteTextChar"/>
    <w:uiPriority w:val="99"/>
    <w:semiHidden/>
    <w:unhideWhenUsed/>
    <w:rsid w:val="00403C49"/>
    <w:rPr>
      <w:sz w:val="20"/>
      <w:szCs w:val="20"/>
    </w:rPr>
  </w:style>
  <w:style w:type="character" w:customStyle="1" w:styleId="EndnoteTextChar">
    <w:name w:val="Endnote Text Char"/>
    <w:basedOn w:val="DefaultParagraphFont"/>
    <w:link w:val="EndnoteText"/>
    <w:uiPriority w:val="99"/>
    <w:semiHidden/>
    <w:rsid w:val="00403C49"/>
  </w:style>
  <w:style w:type="character" w:styleId="EndnoteReference">
    <w:name w:val="endnote reference"/>
    <w:basedOn w:val="DefaultParagraphFont"/>
    <w:uiPriority w:val="99"/>
    <w:semiHidden/>
    <w:unhideWhenUsed/>
    <w:rsid w:val="00403C49"/>
    <w:rPr>
      <w:vertAlign w:val="superscript"/>
    </w:rPr>
  </w:style>
  <w:style w:type="paragraph" w:styleId="ListParagraph">
    <w:name w:val="List Paragraph"/>
    <w:basedOn w:val="Normal"/>
    <w:uiPriority w:val="34"/>
    <w:qFormat/>
    <w:rsid w:val="0030728D"/>
    <w:pPr>
      <w:ind w:left="720"/>
      <w:contextualSpacing/>
    </w:pPr>
  </w:style>
  <w:style w:type="character" w:styleId="FollowedHyperlink">
    <w:name w:val="FollowedHyperlink"/>
    <w:basedOn w:val="DefaultParagraphFont"/>
    <w:uiPriority w:val="99"/>
    <w:semiHidden/>
    <w:unhideWhenUsed/>
    <w:rsid w:val="00281928"/>
    <w:rPr>
      <w:color w:val="800080" w:themeColor="followedHyperlink"/>
      <w:u w:val="single"/>
    </w:rPr>
  </w:style>
  <w:style w:type="character" w:customStyle="1" w:styleId="FootnoteTextChar">
    <w:name w:val="Footnote Text Char"/>
    <w:aliases w:val="Footnote Text Char2 Char Char,Footnote Text Char1 Char Char2 Char,Footnote Text Char Char Char Char2 Char,Footnote Text Char2 Char Char Char Char1 Char,Footnote Text Char1 Char Char Char Char Char1 Char,Footnote Text Char2 Char1"/>
    <w:basedOn w:val="DefaultParagraphFont"/>
    <w:link w:val="FootnoteText"/>
    <w:rsid w:val="00E00C3D"/>
  </w:style>
  <w:style w:type="paragraph" w:customStyle="1" w:styleId="Default">
    <w:name w:val="Default"/>
    <w:rsid w:val="00D94D16"/>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AF5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B910CC"/>
  </w:style>
  <w:style w:type="character" w:styleId="Emphasis">
    <w:name w:val="Emphasis"/>
    <w:basedOn w:val="DefaultParagraphFont"/>
    <w:uiPriority w:val="20"/>
    <w:qFormat/>
    <w:rsid w:val="0056095B"/>
    <w:rPr>
      <w:i/>
      <w:iCs/>
    </w:rPr>
  </w:style>
  <w:style w:type="character" w:customStyle="1" w:styleId="A4">
    <w:name w:val="A4"/>
    <w:uiPriority w:val="99"/>
    <w:rsid w:val="00AA68DE"/>
    <w:rPr>
      <w:rFonts w:cs="Stag Sans Light"/>
      <w:color w:val="000000"/>
      <w:sz w:val="20"/>
      <w:szCs w:val="20"/>
    </w:rPr>
  </w:style>
  <w:style w:type="paragraph" w:customStyle="1" w:styleId="suggested-citation">
    <w:name w:val="suggested-citation"/>
    <w:basedOn w:val="Normal"/>
    <w:rsid w:val="003B680D"/>
    <w:pPr>
      <w:spacing w:before="100" w:beforeAutospacing="1" w:after="100" w:afterAutospacing="1"/>
    </w:pPr>
  </w:style>
  <w:style w:type="character" w:customStyle="1" w:styleId="Heading4Char">
    <w:name w:val="Heading 4 Char"/>
    <w:basedOn w:val="DefaultParagraphFont"/>
    <w:link w:val="Heading4"/>
    <w:uiPriority w:val="9"/>
    <w:semiHidden/>
    <w:rsid w:val="000D1C06"/>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unhideWhenUsed/>
    <w:rsid w:val="000D1C06"/>
    <w:pPr>
      <w:spacing w:before="100" w:beforeAutospacing="1" w:after="100" w:afterAutospacing="1"/>
    </w:pPr>
    <w:rPr>
      <w:lang w:val="en-GB" w:eastAsia="en-GB"/>
    </w:rPr>
  </w:style>
  <w:style w:type="character" w:customStyle="1" w:styleId="Heading1Char">
    <w:name w:val="Heading 1 Char"/>
    <w:basedOn w:val="DefaultParagraphFont"/>
    <w:link w:val="Heading1"/>
    <w:uiPriority w:val="9"/>
    <w:rsid w:val="000D1C06"/>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461C8E"/>
    <w:rPr>
      <w:color w:val="808080"/>
      <w:shd w:val="clear" w:color="auto" w:fill="E6E6E6"/>
    </w:rPr>
  </w:style>
  <w:style w:type="paragraph" w:styleId="Title">
    <w:name w:val="Title"/>
    <w:basedOn w:val="Normal"/>
    <w:next w:val="Normal"/>
    <w:link w:val="TitleChar"/>
    <w:uiPriority w:val="10"/>
    <w:qFormat/>
    <w:rsid w:val="0097707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7074"/>
    <w:rPr>
      <w:rFonts w:asciiTheme="majorHAnsi" w:eastAsiaTheme="majorEastAsia" w:hAnsiTheme="majorHAnsi" w:cstheme="majorBidi"/>
      <w:spacing w:val="-10"/>
      <w:kern w:val="28"/>
      <w:sz w:val="56"/>
      <w:szCs w:val="56"/>
    </w:rPr>
  </w:style>
  <w:style w:type="paragraph" w:customStyle="1" w:styleId="subsection">
    <w:name w:val="subsection"/>
    <w:basedOn w:val="Normal"/>
    <w:rsid w:val="002A11AD"/>
    <w:pPr>
      <w:spacing w:before="100" w:beforeAutospacing="1" w:after="100" w:afterAutospacing="1"/>
    </w:pPr>
    <w:rPr>
      <w:lang w:val="en-GB" w:eastAsia="en-GB"/>
    </w:rPr>
  </w:style>
  <w:style w:type="paragraph" w:customStyle="1" w:styleId="paragraph">
    <w:name w:val="paragraph"/>
    <w:basedOn w:val="Normal"/>
    <w:rsid w:val="002A11AD"/>
    <w:pPr>
      <w:spacing w:before="100" w:beforeAutospacing="1" w:after="100" w:afterAutospacing="1"/>
    </w:pPr>
    <w:rPr>
      <w:lang w:val="en-GB" w:eastAsia="en-GB"/>
    </w:rPr>
  </w:style>
  <w:style w:type="paragraph" w:customStyle="1" w:styleId="acthead5">
    <w:name w:val="acthead5"/>
    <w:basedOn w:val="Normal"/>
    <w:rsid w:val="00F27AD4"/>
    <w:pPr>
      <w:spacing w:before="100" w:beforeAutospacing="1" w:after="100" w:afterAutospacing="1"/>
    </w:pPr>
    <w:rPr>
      <w:lang w:val="en-GB" w:eastAsia="en-GB"/>
    </w:rPr>
  </w:style>
  <w:style w:type="character" w:customStyle="1" w:styleId="charsectno">
    <w:name w:val="charsectno"/>
    <w:basedOn w:val="DefaultParagraphFont"/>
    <w:rsid w:val="00F27AD4"/>
  </w:style>
  <w:style w:type="paragraph" w:customStyle="1" w:styleId="definition">
    <w:name w:val="definition"/>
    <w:basedOn w:val="Normal"/>
    <w:rsid w:val="00F27AD4"/>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2692">
      <w:bodyDiv w:val="1"/>
      <w:marLeft w:val="0"/>
      <w:marRight w:val="0"/>
      <w:marTop w:val="0"/>
      <w:marBottom w:val="0"/>
      <w:divBdr>
        <w:top w:val="none" w:sz="0" w:space="0" w:color="auto"/>
        <w:left w:val="none" w:sz="0" w:space="0" w:color="auto"/>
        <w:bottom w:val="none" w:sz="0" w:space="0" w:color="auto"/>
        <w:right w:val="none" w:sz="0" w:space="0" w:color="auto"/>
      </w:divBdr>
      <w:divsChild>
        <w:div w:id="1934781962">
          <w:marLeft w:val="0"/>
          <w:marRight w:val="0"/>
          <w:marTop w:val="0"/>
          <w:marBottom w:val="0"/>
          <w:divBdr>
            <w:top w:val="none" w:sz="0" w:space="0" w:color="auto"/>
            <w:left w:val="none" w:sz="0" w:space="0" w:color="auto"/>
            <w:bottom w:val="none" w:sz="0" w:space="0" w:color="auto"/>
            <w:right w:val="none" w:sz="0" w:space="0" w:color="auto"/>
          </w:divBdr>
        </w:div>
        <w:div w:id="331223796">
          <w:marLeft w:val="0"/>
          <w:marRight w:val="0"/>
          <w:marTop w:val="0"/>
          <w:marBottom w:val="0"/>
          <w:divBdr>
            <w:top w:val="none" w:sz="0" w:space="0" w:color="auto"/>
            <w:left w:val="none" w:sz="0" w:space="0" w:color="auto"/>
            <w:bottom w:val="none" w:sz="0" w:space="0" w:color="auto"/>
            <w:right w:val="none" w:sz="0" w:space="0" w:color="auto"/>
          </w:divBdr>
        </w:div>
        <w:div w:id="794256219">
          <w:marLeft w:val="0"/>
          <w:marRight w:val="0"/>
          <w:marTop w:val="0"/>
          <w:marBottom w:val="0"/>
          <w:divBdr>
            <w:top w:val="none" w:sz="0" w:space="0" w:color="auto"/>
            <w:left w:val="none" w:sz="0" w:space="0" w:color="auto"/>
            <w:bottom w:val="none" w:sz="0" w:space="0" w:color="auto"/>
            <w:right w:val="none" w:sz="0" w:space="0" w:color="auto"/>
          </w:divBdr>
        </w:div>
        <w:div w:id="884680777">
          <w:marLeft w:val="0"/>
          <w:marRight w:val="0"/>
          <w:marTop w:val="0"/>
          <w:marBottom w:val="0"/>
          <w:divBdr>
            <w:top w:val="none" w:sz="0" w:space="0" w:color="auto"/>
            <w:left w:val="none" w:sz="0" w:space="0" w:color="auto"/>
            <w:bottom w:val="none" w:sz="0" w:space="0" w:color="auto"/>
            <w:right w:val="none" w:sz="0" w:space="0" w:color="auto"/>
          </w:divBdr>
        </w:div>
        <w:div w:id="374158118">
          <w:marLeft w:val="0"/>
          <w:marRight w:val="0"/>
          <w:marTop w:val="0"/>
          <w:marBottom w:val="0"/>
          <w:divBdr>
            <w:top w:val="none" w:sz="0" w:space="0" w:color="auto"/>
            <w:left w:val="none" w:sz="0" w:space="0" w:color="auto"/>
            <w:bottom w:val="none" w:sz="0" w:space="0" w:color="auto"/>
            <w:right w:val="none" w:sz="0" w:space="0" w:color="auto"/>
          </w:divBdr>
        </w:div>
        <w:div w:id="1272712695">
          <w:marLeft w:val="0"/>
          <w:marRight w:val="0"/>
          <w:marTop w:val="0"/>
          <w:marBottom w:val="0"/>
          <w:divBdr>
            <w:top w:val="none" w:sz="0" w:space="0" w:color="auto"/>
            <w:left w:val="none" w:sz="0" w:space="0" w:color="auto"/>
            <w:bottom w:val="none" w:sz="0" w:space="0" w:color="auto"/>
            <w:right w:val="none" w:sz="0" w:space="0" w:color="auto"/>
          </w:divBdr>
        </w:div>
        <w:div w:id="926495646">
          <w:marLeft w:val="0"/>
          <w:marRight w:val="0"/>
          <w:marTop w:val="0"/>
          <w:marBottom w:val="0"/>
          <w:divBdr>
            <w:top w:val="none" w:sz="0" w:space="0" w:color="auto"/>
            <w:left w:val="none" w:sz="0" w:space="0" w:color="auto"/>
            <w:bottom w:val="none" w:sz="0" w:space="0" w:color="auto"/>
            <w:right w:val="none" w:sz="0" w:space="0" w:color="auto"/>
          </w:divBdr>
        </w:div>
        <w:div w:id="1210874639">
          <w:marLeft w:val="0"/>
          <w:marRight w:val="0"/>
          <w:marTop w:val="0"/>
          <w:marBottom w:val="0"/>
          <w:divBdr>
            <w:top w:val="none" w:sz="0" w:space="0" w:color="auto"/>
            <w:left w:val="none" w:sz="0" w:space="0" w:color="auto"/>
            <w:bottom w:val="none" w:sz="0" w:space="0" w:color="auto"/>
            <w:right w:val="none" w:sz="0" w:space="0" w:color="auto"/>
          </w:divBdr>
        </w:div>
        <w:div w:id="369384530">
          <w:marLeft w:val="0"/>
          <w:marRight w:val="0"/>
          <w:marTop w:val="0"/>
          <w:marBottom w:val="0"/>
          <w:divBdr>
            <w:top w:val="none" w:sz="0" w:space="0" w:color="auto"/>
            <w:left w:val="none" w:sz="0" w:space="0" w:color="auto"/>
            <w:bottom w:val="none" w:sz="0" w:space="0" w:color="auto"/>
            <w:right w:val="none" w:sz="0" w:space="0" w:color="auto"/>
          </w:divBdr>
        </w:div>
        <w:div w:id="1367487809">
          <w:marLeft w:val="0"/>
          <w:marRight w:val="0"/>
          <w:marTop w:val="0"/>
          <w:marBottom w:val="0"/>
          <w:divBdr>
            <w:top w:val="none" w:sz="0" w:space="0" w:color="auto"/>
            <w:left w:val="none" w:sz="0" w:space="0" w:color="auto"/>
            <w:bottom w:val="none" w:sz="0" w:space="0" w:color="auto"/>
            <w:right w:val="none" w:sz="0" w:space="0" w:color="auto"/>
          </w:divBdr>
        </w:div>
        <w:div w:id="652028232">
          <w:marLeft w:val="0"/>
          <w:marRight w:val="0"/>
          <w:marTop w:val="0"/>
          <w:marBottom w:val="0"/>
          <w:divBdr>
            <w:top w:val="none" w:sz="0" w:space="0" w:color="auto"/>
            <w:left w:val="none" w:sz="0" w:space="0" w:color="auto"/>
            <w:bottom w:val="none" w:sz="0" w:space="0" w:color="auto"/>
            <w:right w:val="none" w:sz="0" w:space="0" w:color="auto"/>
          </w:divBdr>
        </w:div>
        <w:div w:id="1130707935">
          <w:marLeft w:val="0"/>
          <w:marRight w:val="0"/>
          <w:marTop w:val="0"/>
          <w:marBottom w:val="0"/>
          <w:divBdr>
            <w:top w:val="none" w:sz="0" w:space="0" w:color="auto"/>
            <w:left w:val="none" w:sz="0" w:space="0" w:color="auto"/>
            <w:bottom w:val="none" w:sz="0" w:space="0" w:color="auto"/>
            <w:right w:val="none" w:sz="0" w:space="0" w:color="auto"/>
          </w:divBdr>
        </w:div>
        <w:div w:id="1715041875">
          <w:marLeft w:val="0"/>
          <w:marRight w:val="0"/>
          <w:marTop w:val="0"/>
          <w:marBottom w:val="0"/>
          <w:divBdr>
            <w:top w:val="none" w:sz="0" w:space="0" w:color="auto"/>
            <w:left w:val="none" w:sz="0" w:space="0" w:color="auto"/>
            <w:bottom w:val="none" w:sz="0" w:space="0" w:color="auto"/>
            <w:right w:val="none" w:sz="0" w:space="0" w:color="auto"/>
          </w:divBdr>
        </w:div>
        <w:div w:id="1796635012">
          <w:marLeft w:val="0"/>
          <w:marRight w:val="0"/>
          <w:marTop w:val="0"/>
          <w:marBottom w:val="0"/>
          <w:divBdr>
            <w:top w:val="none" w:sz="0" w:space="0" w:color="auto"/>
            <w:left w:val="none" w:sz="0" w:space="0" w:color="auto"/>
            <w:bottom w:val="none" w:sz="0" w:space="0" w:color="auto"/>
            <w:right w:val="none" w:sz="0" w:space="0" w:color="auto"/>
          </w:divBdr>
        </w:div>
        <w:div w:id="1793594383">
          <w:marLeft w:val="0"/>
          <w:marRight w:val="0"/>
          <w:marTop w:val="0"/>
          <w:marBottom w:val="0"/>
          <w:divBdr>
            <w:top w:val="none" w:sz="0" w:space="0" w:color="auto"/>
            <w:left w:val="none" w:sz="0" w:space="0" w:color="auto"/>
            <w:bottom w:val="none" w:sz="0" w:space="0" w:color="auto"/>
            <w:right w:val="none" w:sz="0" w:space="0" w:color="auto"/>
          </w:divBdr>
        </w:div>
        <w:div w:id="344132522">
          <w:marLeft w:val="0"/>
          <w:marRight w:val="0"/>
          <w:marTop w:val="0"/>
          <w:marBottom w:val="0"/>
          <w:divBdr>
            <w:top w:val="none" w:sz="0" w:space="0" w:color="auto"/>
            <w:left w:val="none" w:sz="0" w:space="0" w:color="auto"/>
            <w:bottom w:val="none" w:sz="0" w:space="0" w:color="auto"/>
            <w:right w:val="none" w:sz="0" w:space="0" w:color="auto"/>
          </w:divBdr>
        </w:div>
        <w:div w:id="323901648">
          <w:marLeft w:val="0"/>
          <w:marRight w:val="0"/>
          <w:marTop w:val="0"/>
          <w:marBottom w:val="0"/>
          <w:divBdr>
            <w:top w:val="none" w:sz="0" w:space="0" w:color="auto"/>
            <w:left w:val="none" w:sz="0" w:space="0" w:color="auto"/>
            <w:bottom w:val="none" w:sz="0" w:space="0" w:color="auto"/>
            <w:right w:val="none" w:sz="0" w:space="0" w:color="auto"/>
          </w:divBdr>
        </w:div>
        <w:div w:id="913666323">
          <w:marLeft w:val="0"/>
          <w:marRight w:val="0"/>
          <w:marTop w:val="0"/>
          <w:marBottom w:val="0"/>
          <w:divBdr>
            <w:top w:val="none" w:sz="0" w:space="0" w:color="auto"/>
            <w:left w:val="none" w:sz="0" w:space="0" w:color="auto"/>
            <w:bottom w:val="none" w:sz="0" w:space="0" w:color="auto"/>
            <w:right w:val="none" w:sz="0" w:space="0" w:color="auto"/>
          </w:divBdr>
        </w:div>
        <w:div w:id="243227530">
          <w:marLeft w:val="0"/>
          <w:marRight w:val="0"/>
          <w:marTop w:val="0"/>
          <w:marBottom w:val="0"/>
          <w:divBdr>
            <w:top w:val="none" w:sz="0" w:space="0" w:color="auto"/>
            <w:left w:val="none" w:sz="0" w:space="0" w:color="auto"/>
            <w:bottom w:val="none" w:sz="0" w:space="0" w:color="auto"/>
            <w:right w:val="none" w:sz="0" w:space="0" w:color="auto"/>
          </w:divBdr>
        </w:div>
        <w:div w:id="1345548033">
          <w:marLeft w:val="0"/>
          <w:marRight w:val="0"/>
          <w:marTop w:val="0"/>
          <w:marBottom w:val="0"/>
          <w:divBdr>
            <w:top w:val="none" w:sz="0" w:space="0" w:color="auto"/>
            <w:left w:val="none" w:sz="0" w:space="0" w:color="auto"/>
            <w:bottom w:val="none" w:sz="0" w:space="0" w:color="auto"/>
            <w:right w:val="none" w:sz="0" w:space="0" w:color="auto"/>
          </w:divBdr>
        </w:div>
        <w:div w:id="347877480">
          <w:marLeft w:val="0"/>
          <w:marRight w:val="0"/>
          <w:marTop w:val="0"/>
          <w:marBottom w:val="0"/>
          <w:divBdr>
            <w:top w:val="none" w:sz="0" w:space="0" w:color="auto"/>
            <w:left w:val="none" w:sz="0" w:space="0" w:color="auto"/>
            <w:bottom w:val="none" w:sz="0" w:space="0" w:color="auto"/>
            <w:right w:val="none" w:sz="0" w:space="0" w:color="auto"/>
          </w:divBdr>
        </w:div>
        <w:div w:id="576282522">
          <w:marLeft w:val="0"/>
          <w:marRight w:val="0"/>
          <w:marTop w:val="0"/>
          <w:marBottom w:val="0"/>
          <w:divBdr>
            <w:top w:val="none" w:sz="0" w:space="0" w:color="auto"/>
            <w:left w:val="none" w:sz="0" w:space="0" w:color="auto"/>
            <w:bottom w:val="none" w:sz="0" w:space="0" w:color="auto"/>
            <w:right w:val="none" w:sz="0" w:space="0" w:color="auto"/>
          </w:divBdr>
        </w:div>
        <w:div w:id="930162259">
          <w:marLeft w:val="0"/>
          <w:marRight w:val="0"/>
          <w:marTop w:val="0"/>
          <w:marBottom w:val="0"/>
          <w:divBdr>
            <w:top w:val="none" w:sz="0" w:space="0" w:color="auto"/>
            <w:left w:val="none" w:sz="0" w:space="0" w:color="auto"/>
            <w:bottom w:val="none" w:sz="0" w:space="0" w:color="auto"/>
            <w:right w:val="none" w:sz="0" w:space="0" w:color="auto"/>
          </w:divBdr>
        </w:div>
        <w:div w:id="1468010168">
          <w:marLeft w:val="0"/>
          <w:marRight w:val="0"/>
          <w:marTop w:val="0"/>
          <w:marBottom w:val="0"/>
          <w:divBdr>
            <w:top w:val="none" w:sz="0" w:space="0" w:color="auto"/>
            <w:left w:val="none" w:sz="0" w:space="0" w:color="auto"/>
            <w:bottom w:val="none" w:sz="0" w:space="0" w:color="auto"/>
            <w:right w:val="none" w:sz="0" w:space="0" w:color="auto"/>
          </w:divBdr>
        </w:div>
        <w:div w:id="1058364334">
          <w:marLeft w:val="0"/>
          <w:marRight w:val="0"/>
          <w:marTop w:val="0"/>
          <w:marBottom w:val="0"/>
          <w:divBdr>
            <w:top w:val="none" w:sz="0" w:space="0" w:color="auto"/>
            <w:left w:val="none" w:sz="0" w:space="0" w:color="auto"/>
            <w:bottom w:val="none" w:sz="0" w:space="0" w:color="auto"/>
            <w:right w:val="none" w:sz="0" w:space="0" w:color="auto"/>
          </w:divBdr>
        </w:div>
        <w:div w:id="959923387">
          <w:marLeft w:val="0"/>
          <w:marRight w:val="0"/>
          <w:marTop w:val="0"/>
          <w:marBottom w:val="0"/>
          <w:divBdr>
            <w:top w:val="none" w:sz="0" w:space="0" w:color="auto"/>
            <w:left w:val="none" w:sz="0" w:space="0" w:color="auto"/>
            <w:bottom w:val="none" w:sz="0" w:space="0" w:color="auto"/>
            <w:right w:val="none" w:sz="0" w:space="0" w:color="auto"/>
          </w:divBdr>
        </w:div>
        <w:div w:id="1688362506">
          <w:marLeft w:val="0"/>
          <w:marRight w:val="0"/>
          <w:marTop w:val="0"/>
          <w:marBottom w:val="0"/>
          <w:divBdr>
            <w:top w:val="none" w:sz="0" w:space="0" w:color="auto"/>
            <w:left w:val="none" w:sz="0" w:space="0" w:color="auto"/>
            <w:bottom w:val="none" w:sz="0" w:space="0" w:color="auto"/>
            <w:right w:val="none" w:sz="0" w:space="0" w:color="auto"/>
          </w:divBdr>
        </w:div>
        <w:div w:id="1307053735">
          <w:marLeft w:val="0"/>
          <w:marRight w:val="0"/>
          <w:marTop w:val="0"/>
          <w:marBottom w:val="0"/>
          <w:divBdr>
            <w:top w:val="none" w:sz="0" w:space="0" w:color="auto"/>
            <w:left w:val="none" w:sz="0" w:space="0" w:color="auto"/>
            <w:bottom w:val="none" w:sz="0" w:space="0" w:color="auto"/>
            <w:right w:val="none" w:sz="0" w:space="0" w:color="auto"/>
          </w:divBdr>
        </w:div>
        <w:div w:id="484204734">
          <w:marLeft w:val="0"/>
          <w:marRight w:val="0"/>
          <w:marTop w:val="0"/>
          <w:marBottom w:val="0"/>
          <w:divBdr>
            <w:top w:val="none" w:sz="0" w:space="0" w:color="auto"/>
            <w:left w:val="none" w:sz="0" w:space="0" w:color="auto"/>
            <w:bottom w:val="none" w:sz="0" w:space="0" w:color="auto"/>
            <w:right w:val="none" w:sz="0" w:space="0" w:color="auto"/>
          </w:divBdr>
        </w:div>
        <w:div w:id="65299320">
          <w:marLeft w:val="0"/>
          <w:marRight w:val="0"/>
          <w:marTop w:val="0"/>
          <w:marBottom w:val="0"/>
          <w:divBdr>
            <w:top w:val="none" w:sz="0" w:space="0" w:color="auto"/>
            <w:left w:val="none" w:sz="0" w:space="0" w:color="auto"/>
            <w:bottom w:val="none" w:sz="0" w:space="0" w:color="auto"/>
            <w:right w:val="none" w:sz="0" w:space="0" w:color="auto"/>
          </w:divBdr>
        </w:div>
      </w:divsChild>
    </w:div>
    <w:div w:id="311108589">
      <w:bodyDiv w:val="1"/>
      <w:marLeft w:val="0"/>
      <w:marRight w:val="0"/>
      <w:marTop w:val="0"/>
      <w:marBottom w:val="0"/>
      <w:divBdr>
        <w:top w:val="none" w:sz="0" w:space="0" w:color="auto"/>
        <w:left w:val="none" w:sz="0" w:space="0" w:color="auto"/>
        <w:bottom w:val="none" w:sz="0" w:space="0" w:color="auto"/>
        <w:right w:val="none" w:sz="0" w:space="0" w:color="auto"/>
      </w:divBdr>
    </w:div>
    <w:div w:id="341247761">
      <w:bodyDiv w:val="1"/>
      <w:marLeft w:val="0"/>
      <w:marRight w:val="0"/>
      <w:marTop w:val="0"/>
      <w:marBottom w:val="0"/>
      <w:divBdr>
        <w:top w:val="none" w:sz="0" w:space="0" w:color="auto"/>
        <w:left w:val="none" w:sz="0" w:space="0" w:color="auto"/>
        <w:bottom w:val="none" w:sz="0" w:space="0" w:color="auto"/>
        <w:right w:val="none" w:sz="0" w:space="0" w:color="auto"/>
      </w:divBdr>
    </w:div>
    <w:div w:id="437527008">
      <w:bodyDiv w:val="1"/>
      <w:marLeft w:val="0"/>
      <w:marRight w:val="0"/>
      <w:marTop w:val="0"/>
      <w:marBottom w:val="0"/>
      <w:divBdr>
        <w:top w:val="none" w:sz="0" w:space="0" w:color="auto"/>
        <w:left w:val="none" w:sz="0" w:space="0" w:color="auto"/>
        <w:bottom w:val="none" w:sz="0" w:space="0" w:color="auto"/>
        <w:right w:val="none" w:sz="0" w:space="0" w:color="auto"/>
      </w:divBdr>
    </w:div>
    <w:div w:id="459343951">
      <w:bodyDiv w:val="1"/>
      <w:marLeft w:val="0"/>
      <w:marRight w:val="0"/>
      <w:marTop w:val="0"/>
      <w:marBottom w:val="0"/>
      <w:divBdr>
        <w:top w:val="none" w:sz="0" w:space="0" w:color="auto"/>
        <w:left w:val="none" w:sz="0" w:space="0" w:color="auto"/>
        <w:bottom w:val="none" w:sz="0" w:space="0" w:color="auto"/>
        <w:right w:val="none" w:sz="0" w:space="0" w:color="auto"/>
      </w:divBdr>
    </w:div>
    <w:div w:id="466289127">
      <w:bodyDiv w:val="1"/>
      <w:marLeft w:val="0"/>
      <w:marRight w:val="0"/>
      <w:marTop w:val="0"/>
      <w:marBottom w:val="0"/>
      <w:divBdr>
        <w:top w:val="none" w:sz="0" w:space="0" w:color="auto"/>
        <w:left w:val="none" w:sz="0" w:space="0" w:color="auto"/>
        <w:bottom w:val="none" w:sz="0" w:space="0" w:color="auto"/>
        <w:right w:val="none" w:sz="0" w:space="0" w:color="auto"/>
      </w:divBdr>
    </w:div>
    <w:div w:id="505899307">
      <w:bodyDiv w:val="1"/>
      <w:marLeft w:val="0"/>
      <w:marRight w:val="0"/>
      <w:marTop w:val="0"/>
      <w:marBottom w:val="0"/>
      <w:divBdr>
        <w:top w:val="none" w:sz="0" w:space="0" w:color="auto"/>
        <w:left w:val="none" w:sz="0" w:space="0" w:color="auto"/>
        <w:bottom w:val="none" w:sz="0" w:space="0" w:color="auto"/>
        <w:right w:val="none" w:sz="0" w:space="0" w:color="auto"/>
      </w:divBdr>
      <w:divsChild>
        <w:div w:id="214397802">
          <w:marLeft w:val="0"/>
          <w:marRight w:val="0"/>
          <w:marTop w:val="0"/>
          <w:marBottom w:val="0"/>
          <w:divBdr>
            <w:top w:val="none" w:sz="0" w:space="0" w:color="auto"/>
            <w:left w:val="none" w:sz="0" w:space="0" w:color="auto"/>
            <w:bottom w:val="none" w:sz="0" w:space="0" w:color="auto"/>
            <w:right w:val="none" w:sz="0" w:space="0" w:color="auto"/>
          </w:divBdr>
        </w:div>
        <w:div w:id="1383140955">
          <w:marLeft w:val="0"/>
          <w:marRight w:val="0"/>
          <w:marTop w:val="0"/>
          <w:marBottom w:val="0"/>
          <w:divBdr>
            <w:top w:val="none" w:sz="0" w:space="0" w:color="auto"/>
            <w:left w:val="none" w:sz="0" w:space="0" w:color="auto"/>
            <w:bottom w:val="none" w:sz="0" w:space="0" w:color="auto"/>
            <w:right w:val="none" w:sz="0" w:space="0" w:color="auto"/>
          </w:divBdr>
        </w:div>
        <w:div w:id="1366173962">
          <w:marLeft w:val="0"/>
          <w:marRight w:val="0"/>
          <w:marTop w:val="0"/>
          <w:marBottom w:val="0"/>
          <w:divBdr>
            <w:top w:val="none" w:sz="0" w:space="0" w:color="auto"/>
            <w:left w:val="none" w:sz="0" w:space="0" w:color="auto"/>
            <w:bottom w:val="none" w:sz="0" w:space="0" w:color="auto"/>
            <w:right w:val="none" w:sz="0" w:space="0" w:color="auto"/>
          </w:divBdr>
        </w:div>
        <w:div w:id="1887792280">
          <w:marLeft w:val="0"/>
          <w:marRight w:val="0"/>
          <w:marTop w:val="0"/>
          <w:marBottom w:val="0"/>
          <w:divBdr>
            <w:top w:val="none" w:sz="0" w:space="0" w:color="auto"/>
            <w:left w:val="none" w:sz="0" w:space="0" w:color="auto"/>
            <w:bottom w:val="none" w:sz="0" w:space="0" w:color="auto"/>
            <w:right w:val="none" w:sz="0" w:space="0" w:color="auto"/>
          </w:divBdr>
        </w:div>
      </w:divsChild>
    </w:div>
    <w:div w:id="517933515">
      <w:bodyDiv w:val="1"/>
      <w:marLeft w:val="0"/>
      <w:marRight w:val="0"/>
      <w:marTop w:val="0"/>
      <w:marBottom w:val="0"/>
      <w:divBdr>
        <w:top w:val="none" w:sz="0" w:space="0" w:color="auto"/>
        <w:left w:val="none" w:sz="0" w:space="0" w:color="auto"/>
        <w:bottom w:val="none" w:sz="0" w:space="0" w:color="auto"/>
        <w:right w:val="none" w:sz="0" w:space="0" w:color="auto"/>
      </w:divBdr>
      <w:divsChild>
        <w:div w:id="1884755076">
          <w:marLeft w:val="0"/>
          <w:marRight w:val="0"/>
          <w:marTop w:val="0"/>
          <w:marBottom w:val="0"/>
          <w:divBdr>
            <w:top w:val="none" w:sz="0" w:space="0" w:color="auto"/>
            <w:left w:val="none" w:sz="0" w:space="0" w:color="auto"/>
            <w:bottom w:val="none" w:sz="0" w:space="0" w:color="auto"/>
            <w:right w:val="none" w:sz="0" w:space="0" w:color="auto"/>
          </w:divBdr>
        </w:div>
        <w:div w:id="353698358">
          <w:marLeft w:val="0"/>
          <w:marRight w:val="0"/>
          <w:marTop w:val="0"/>
          <w:marBottom w:val="0"/>
          <w:divBdr>
            <w:top w:val="none" w:sz="0" w:space="0" w:color="auto"/>
            <w:left w:val="none" w:sz="0" w:space="0" w:color="auto"/>
            <w:bottom w:val="none" w:sz="0" w:space="0" w:color="auto"/>
            <w:right w:val="none" w:sz="0" w:space="0" w:color="auto"/>
          </w:divBdr>
        </w:div>
        <w:div w:id="1511487579">
          <w:marLeft w:val="0"/>
          <w:marRight w:val="0"/>
          <w:marTop w:val="0"/>
          <w:marBottom w:val="0"/>
          <w:divBdr>
            <w:top w:val="none" w:sz="0" w:space="0" w:color="auto"/>
            <w:left w:val="none" w:sz="0" w:space="0" w:color="auto"/>
            <w:bottom w:val="none" w:sz="0" w:space="0" w:color="auto"/>
            <w:right w:val="none" w:sz="0" w:space="0" w:color="auto"/>
          </w:divBdr>
        </w:div>
        <w:div w:id="1531141391">
          <w:marLeft w:val="0"/>
          <w:marRight w:val="0"/>
          <w:marTop w:val="0"/>
          <w:marBottom w:val="0"/>
          <w:divBdr>
            <w:top w:val="none" w:sz="0" w:space="0" w:color="auto"/>
            <w:left w:val="none" w:sz="0" w:space="0" w:color="auto"/>
            <w:bottom w:val="none" w:sz="0" w:space="0" w:color="auto"/>
            <w:right w:val="none" w:sz="0" w:space="0" w:color="auto"/>
          </w:divBdr>
        </w:div>
        <w:div w:id="480317734">
          <w:marLeft w:val="0"/>
          <w:marRight w:val="0"/>
          <w:marTop w:val="0"/>
          <w:marBottom w:val="0"/>
          <w:divBdr>
            <w:top w:val="none" w:sz="0" w:space="0" w:color="auto"/>
            <w:left w:val="none" w:sz="0" w:space="0" w:color="auto"/>
            <w:bottom w:val="none" w:sz="0" w:space="0" w:color="auto"/>
            <w:right w:val="none" w:sz="0" w:space="0" w:color="auto"/>
          </w:divBdr>
        </w:div>
        <w:div w:id="1974560103">
          <w:marLeft w:val="0"/>
          <w:marRight w:val="0"/>
          <w:marTop w:val="0"/>
          <w:marBottom w:val="0"/>
          <w:divBdr>
            <w:top w:val="none" w:sz="0" w:space="0" w:color="auto"/>
            <w:left w:val="none" w:sz="0" w:space="0" w:color="auto"/>
            <w:bottom w:val="none" w:sz="0" w:space="0" w:color="auto"/>
            <w:right w:val="none" w:sz="0" w:space="0" w:color="auto"/>
          </w:divBdr>
        </w:div>
        <w:div w:id="1243641958">
          <w:marLeft w:val="0"/>
          <w:marRight w:val="0"/>
          <w:marTop w:val="0"/>
          <w:marBottom w:val="0"/>
          <w:divBdr>
            <w:top w:val="none" w:sz="0" w:space="0" w:color="auto"/>
            <w:left w:val="none" w:sz="0" w:space="0" w:color="auto"/>
            <w:bottom w:val="none" w:sz="0" w:space="0" w:color="auto"/>
            <w:right w:val="none" w:sz="0" w:space="0" w:color="auto"/>
          </w:divBdr>
        </w:div>
        <w:div w:id="2102288994">
          <w:marLeft w:val="0"/>
          <w:marRight w:val="0"/>
          <w:marTop w:val="0"/>
          <w:marBottom w:val="0"/>
          <w:divBdr>
            <w:top w:val="none" w:sz="0" w:space="0" w:color="auto"/>
            <w:left w:val="none" w:sz="0" w:space="0" w:color="auto"/>
            <w:bottom w:val="none" w:sz="0" w:space="0" w:color="auto"/>
            <w:right w:val="none" w:sz="0" w:space="0" w:color="auto"/>
          </w:divBdr>
        </w:div>
        <w:div w:id="1632781584">
          <w:marLeft w:val="0"/>
          <w:marRight w:val="0"/>
          <w:marTop w:val="0"/>
          <w:marBottom w:val="0"/>
          <w:divBdr>
            <w:top w:val="none" w:sz="0" w:space="0" w:color="auto"/>
            <w:left w:val="none" w:sz="0" w:space="0" w:color="auto"/>
            <w:bottom w:val="none" w:sz="0" w:space="0" w:color="auto"/>
            <w:right w:val="none" w:sz="0" w:space="0" w:color="auto"/>
          </w:divBdr>
        </w:div>
        <w:div w:id="11499900">
          <w:marLeft w:val="0"/>
          <w:marRight w:val="0"/>
          <w:marTop w:val="0"/>
          <w:marBottom w:val="0"/>
          <w:divBdr>
            <w:top w:val="none" w:sz="0" w:space="0" w:color="auto"/>
            <w:left w:val="none" w:sz="0" w:space="0" w:color="auto"/>
            <w:bottom w:val="none" w:sz="0" w:space="0" w:color="auto"/>
            <w:right w:val="none" w:sz="0" w:space="0" w:color="auto"/>
          </w:divBdr>
        </w:div>
        <w:div w:id="1189877183">
          <w:marLeft w:val="0"/>
          <w:marRight w:val="0"/>
          <w:marTop w:val="0"/>
          <w:marBottom w:val="0"/>
          <w:divBdr>
            <w:top w:val="none" w:sz="0" w:space="0" w:color="auto"/>
            <w:left w:val="none" w:sz="0" w:space="0" w:color="auto"/>
            <w:bottom w:val="none" w:sz="0" w:space="0" w:color="auto"/>
            <w:right w:val="none" w:sz="0" w:space="0" w:color="auto"/>
          </w:divBdr>
        </w:div>
        <w:div w:id="1470972962">
          <w:marLeft w:val="0"/>
          <w:marRight w:val="0"/>
          <w:marTop w:val="0"/>
          <w:marBottom w:val="0"/>
          <w:divBdr>
            <w:top w:val="none" w:sz="0" w:space="0" w:color="auto"/>
            <w:left w:val="none" w:sz="0" w:space="0" w:color="auto"/>
            <w:bottom w:val="none" w:sz="0" w:space="0" w:color="auto"/>
            <w:right w:val="none" w:sz="0" w:space="0" w:color="auto"/>
          </w:divBdr>
        </w:div>
        <w:div w:id="1655059551">
          <w:marLeft w:val="0"/>
          <w:marRight w:val="0"/>
          <w:marTop w:val="0"/>
          <w:marBottom w:val="0"/>
          <w:divBdr>
            <w:top w:val="none" w:sz="0" w:space="0" w:color="auto"/>
            <w:left w:val="none" w:sz="0" w:space="0" w:color="auto"/>
            <w:bottom w:val="none" w:sz="0" w:space="0" w:color="auto"/>
            <w:right w:val="none" w:sz="0" w:space="0" w:color="auto"/>
          </w:divBdr>
        </w:div>
        <w:div w:id="1082072133">
          <w:marLeft w:val="0"/>
          <w:marRight w:val="0"/>
          <w:marTop w:val="0"/>
          <w:marBottom w:val="0"/>
          <w:divBdr>
            <w:top w:val="none" w:sz="0" w:space="0" w:color="auto"/>
            <w:left w:val="none" w:sz="0" w:space="0" w:color="auto"/>
            <w:bottom w:val="none" w:sz="0" w:space="0" w:color="auto"/>
            <w:right w:val="none" w:sz="0" w:space="0" w:color="auto"/>
          </w:divBdr>
        </w:div>
        <w:div w:id="14693489">
          <w:marLeft w:val="0"/>
          <w:marRight w:val="0"/>
          <w:marTop w:val="0"/>
          <w:marBottom w:val="0"/>
          <w:divBdr>
            <w:top w:val="none" w:sz="0" w:space="0" w:color="auto"/>
            <w:left w:val="none" w:sz="0" w:space="0" w:color="auto"/>
            <w:bottom w:val="none" w:sz="0" w:space="0" w:color="auto"/>
            <w:right w:val="none" w:sz="0" w:space="0" w:color="auto"/>
          </w:divBdr>
        </w:div>
        <w:div w:id="1800949803">
          <w:marLeft w:val="0"/>
          <w:marRight w:val="0"/>
          <w:marTop w:val="0"/>
          <w:marBottom w:val="0"/>
          <w:divBdr>
            <w:top w:val="none" w:sz="0" w:space="0" w:color="auto"/>
            <w:left w:val="none" w:sz="0" w:space="0" w:color="auto"/>
            <w:bottom w:val="none" w:sz="0" w:space="0" w:color="auto"/>
            <w:right w:val="none" w:sz="0" w:space="0" w:color="auto"/>
          </w:divBdr>
        </w:div>
        <w:div w:id="557740522">
          <w:marLeft w:val="0"/>
          <w:marRight w:val="0"/>
          <w:marTop w:val="0"/>
          <w:marBottom w:val="0"/>
          <w:divBdr>
            <w:top w:val="none" w:sz="0" w:space="0" w:color="auto"/>
            <w:left w:val="none" w:sz="0" w:space="0" w:color="auto"/>
            <w:bottom w:val="none" w:sz="0" w:space="0" w:color="auto"/>
            <w:right w:val="none" w:sz="0" w:space="0" w:color="auto"/>
          </w:divBdr>
        </w:div>
        <w:div w:id="1123420122">
          <w:marLeft w:val="0"/>
          <w:marRight w:val="0"/>
          <w:marTop w:val="0"/>
          <w:marBottom w:val="0"/>
          <w:divBdr>
            <w:top w:val="none" w:sz="0" w:space="0" w:color="auto"/>
            <w:left w:val="none" w:sz="0" w:space="0" w:color="auto"/>
            <w:bottom w:val="none" w:sz="0" w:space="0" w:color="auto"/>
            <w:right w:val="none" w:sz="0" w:space="0" w:color="auto"/>
          </w:divBdr>
        </w:div>
        <w:div w:id="1202598673">
          <w:marLeft w:val="0"/>
          <w:marRight w:val="0"/>
          <w:marTop w:val="0"/>
          <w:marBottom w:val="0"/>
          <w:divBdr>
            <w:top w:val="none" w:sz="0" w:space="0" w:color="auto"/>
            <w:left w:val="none" w:sz="0" w:space="0" w:color="auto"/>
            <w:bottom w:val="none" w:sz="0" w:space="0" w:color="auto"/>
            <w:right w:val="none" w:sz="0" w:space="0" w:color="auto"/>
          </w:divBdr>
        </w:div>
      </w:divsChild>
    </w:div>
    <w:div w:id="560099052">
      <w:bodyDiv w:val="1"/>
      <w:marLeft w:val="0"/>
      <w:marRight w:val="0"/>
      <w:marTop w:val="0"/>
      <w:marBottom w:val="0"/>
      <w:divBdr>
        <w:top w:val="none" w:sz="0" w:space="0" w:color="auto"/>
        <w:left w:val="none" w:sz="0" w:space="0" w:color="auto"/>
        <w:bottom w:val="none" w:sz="0" w:space="0" w:color="auto"/>
        <w:right w:val="none" w:sz="0" w:space="0" w:color="auto"/>
      </w:divBdr>
      <w:divsChild>
        <w:div w:id="1331520306">
          <w:marLeft w:val="0"/>
          <w:marRight w:val="0"/>
          <w:marTop w:val="0"/>
          <w:marBottom w:val="0"/>
          <w:divBdr>
            <w:top w:val="none" w:sz="0" w:space="0" w:color="auto"/>
            <w:left w:val="none" w:sz="0" w:space="0" w:color="auto"/>
            <w:bottom w:val="none" w:sz="0" w:space="0" w:color="auto"/>
            <w:right w:val="none" w:sz="0" w:space="0" w:color="auto"/>
          </w:divBdr>
        </w:div>
        <w:div w:id="677388798">
          <w:marLeft w:val="0"/>
          <w:marRight w:val="0"/>
          <w:marTop w:val="0"/>
          <w:marBottom w:val="0"/>
          <w:divBdr>
            <w:top w:val="none" w:sz="0" w:space="0" w:color="auto"/>
            <w:left w:val="none" w:sz="0" w:space="0" w:color="auto"/>
            <w:bottom w:val="none" w:sz="0" w:space="0" w:color="auto"/>
            <w:right w:val="none" w:sz="0" w:space="0" w:color="auto"/>
          </w:divBdr>
        </w:div>
      </w:divsChild>
    </w:div>
    <w:div w:id="583078364">
      <w:bodyDiv w:val="1"/>
      <w:marLeft w:val="0"/>
      <w:marRight w:val="0"/>
      <w:marTop w:val="0"/>
      <w:marBottom w:val="0"/>
      <w:divBdr>
        <w:top w:val="none" w:sz="0" w:space="0" w:color="auto"/>
        <w:left w:val="none" w:sz="0" w:space="0" w:color="auto"/>
        <w:bottom w:val="none" w:sz="0" w:space="0" w:color="auto"/>
        <w:right w:val="none" w:sz="0" w:space="0" w:color="auto"/>
      </w:divBdr>
    </w:div>
    <w:div w:id="606741736">
      <w:bodyDiv w:val="1"/>
      <w:marLeft w:val="0"/>
      <w:marRight w:val="0"/>
      <w:marTop w:val="0"/>
      <w:marBottom w:val="0"/>
      <w:divBdr>
        <w:top w:val="none" w:sz="0" w:space="0" w:color="auto"/>
        <w:left w:val="none" w:sz="0" w:space="0" w:color="auto"/>
        <w:bottom w:val="none" w:sz="0" w:space="0" w:color="auto"/>
        <w:right w:val="none" w:sz="0" w:space="0" w:color="auto"/>
      </w:divBdr>
    </w:div>
    <w:div w:id="670448068">
      <w:bodyDiv w:val="1"/>
      <w:marLeft w:val="0"/>
      <w:marRight w:val="0"/>
      <w:marTop w:val="0"/>
      <w:marBottom w:val="0"/>
      <w:divBdr>
        <w:top w:val="none" w:sz="0" w:space="0" w:color="auto"/>
        <w:left w:val="none" w:sz="0" w:space="0" w:color="auto"/>
        <w:bottom w:val="none" w:sz="0" w:space="0" w:color="auto"/>
        <w:right w:val="none" w:sz="0" w:space="0" w:color="auto"/>
      </w:divBdr>
      <w:divsChild>
        <w:div w:id="1135218710">
          <w:marLeft w:val="0"/>
          <w:marRight w:val="0"/>
          <w:marTop w:val="0"/>
          <w:marBottom w:val="0"/>
          <w:divBdr>
            <w:top w:val="none" w:sz="0" w:space="0" w:color="auto"/>
            <w:left w:val="none" w:sz="0" w:space="0" w:color="auto"/>
            <w:bottom w:val="none" w:sz="0" w:space="0" w:color="auto"/>
            <w:right w:val="none" w:sz="0" w:space="0" w:color="auto"/>
          </w:divBdr>
        </w:div>
        <w:div w:id="593821794">
          <w:marLeft w:val="0"/>
          <w:marRight w:val="0"/>
          <w:marTop w:val="0"/>
          <w:marBottom w:val="0"/>
          <w:divBdr>
            <w:top w:val="none" w:sz="0" w:space="0" w:color="auto"/>
            <w:left w:val="none" w:sz="0" w:space="0" w:color="auto"/>
            <w:bottom w:val="none" w:sz="0" w:space="0" w:color="auto"/>
            <w:right w:val="none" w:sz="0" w:space="0" w:color="auto"/>
          </w:divBdr>
        </w:div>
      </w:divsChild>
    </w:div>
    <w:div w:id="729771256">
      <w:bodyDiv w:val="1"/>
      <w:marLeft w:val="0"/>
      <w:marRight w:val="0"/>
      <w:marTop w:val="0"/>
      <w:marBottom w:val="0"/>
      <w:divBdr>
        <w:top w:val="none" w:sz="0" w:space="0" w:color="auto"/>
        <w:left w:val="none" w:sz="0" w:space="0" w:color="auto"/>
        <w:bottom w:val="none" w:sz="0" w:space="0" w:color="auto"/>
        <w:right w:val="none" w:sz="0" w:space="0" w:color="auto"/>
      </w:divBdr>
    </w:div>
    <w:div w:id="748648929">
      <w:bodyDiv w:val="1"/>
      <w:marLeft w:val="0"/>
      <w:marRight w:val="0"/>
      <w:marTop w:val="0"/>
      <w:marBottom w:val="0"/>
      <w:divBdr>
        <w:top w:val="none" w:sz="0" w:space="0" w:color="auto"/>
        <w:left w:val="none" w:sz="0" w:space="0" w:color="auto"/>
        <w:bottom w:val="none" w:sz="0" w:space="0" w:color="auto"/>
        <w:right w:val="none" w:sz="0" w:space="0" w:color="auto"/>
      </w:divBdr>
      <w:divsChild>
        <w:div w:id="417600700">
          <w:marLeft w:val="0"/>
          <w:marRight w:val="0"/>
          <w:marTop w:val="0"/>
          <w:marBottom w:val="0"/>
          <w:divBdr>
            <w:top w:val="none" w:sz="0" w:space="0" w:color="auto"/>
            <w:left w:val="none" w:sz="0" w:space="0" w:color="auto"/>
            <w:bottom w:val="none" w:sz="0" w:space="0" w:color="auto"/>
            <w:right w:val="none" w:sz="0" w:space="0" w:color="auto"/>
          </w:divBdr>
        </w:div>
        <w:div w:id="217320495">
          <w:marLeft w:val="0"/>
          <w:marRight w:val="0"/>
          <w:marTop w:val="0"/>
          <w:marBottom w:val="0"/>
          <w:divBdr>
            <w:top w:val="none" w:sz="0" w:space="0" w:color="auto"/>
            <w:left w:val="none" w:sz="0" w:space="0" w:color="auto"/>
            <w:bottom w:val="none" w:sz="0" w:space="0" w:color="auto"/>
            <w:right w:val="none" w:sz="0" w:space="0" w:color="auto"/>
          </w:divBdr>
        </w:div>
        <w:div w:id="1878471031">
          <w:marLeft w:val="0"/>
          <w:marRight w:val="0"/>
          <w:marTop w:val="0"/>
          <w:marBottom w:val="0"/>
          <w:divBdr>
            <w:top w:val="none" w:sz="0" w:space="0" w:color="auto"/>
            <w:left w:val="none" w:sz="0" w:space="0" w:color="auto"/>
            <w:bottom w:val="none" w:sz="0" w:space="0" w:color="auto"/>
            <w:right w:val="none" w:sz="0" w:space="0" w:color="auto"/>
          </w:divBdr>
        </w:div>
        <w:div w:id="1124544901">
          <w:marLeft w:val="0"/>
          <w:marRight w:val="0"/>
          <w:marTop w:val="0"/>
          <w:marBottom w:val="0"/>
          <w:divBdr>
            <w:top w:val="none" w:sz="0" w:space="0" w:color="auto"/>
            <w:left w:val="none" w:sz="0" w:space="0" w:color="auto"/>
            <w:bottom w:val="none" w:sz="0" w:space="0" w:color="auto"/>
            <w:right w:val="none" w:sz="0" w:space="0" w:color="auto"/>
          </w:divBdr>
        </w:div>
        <w:div w:id="1695115643">
          <w:marLeft w:val="0"/>
          <w:marRight w:val="0"/>
          <w:marTop w:val="0"/>
          <w:marBottom w:val="0"/>
          <w:divBdr>
            <w:top w:val="none" w:sz="0" w:space="0" w:color="auto"/>
            <w:left w:val="none" w:sz="0" w:space="0" w:color="auto"/>
            <w:bottom w:val="none" w:sz="0" w:space="0" w:color="auto"/>
            <w:right w:val="none" w:sz="0" w:space="0" w:color="auto"/>
          </w:divBdr>
        </w:div>
        <w:div w:id="902371566">
          <w:marLeft w:val="0"/>
          <w:marRight w:val="0"/>
          <w:marTop w:val="0"/>
          <w:marBottom w:val="0"/>
          <w:divBdr>
            <w:top w:val="none" w:sz="0" w:space="0" w:color="auto"/>
            <w:left w:val="none" w:sz="0" w:space="0" w:color="auto"/>
            <w:bottom w:val="none" w:sz="0" w:space="0" w:color="auto"/>
            <w:right w:val="none" w:sz="0" w:space="0" w:color="auto"/>
          </w:divBdr>
        </w:div>
        <w:div w:id="1686055723">
          <w:marLeft w:val="0"/>
          <w:marRight w:val="0"/>
          <w:marTop w:val="0"/>
          <w:marBottom w:val="0"/>
          <w:divBdr>
            <w:top w:val="none" w:sz="0" w:space="0" w:color="auto"/>
            <w:left w:val="none" w:sz="0" w:space="0" w:color="auto"/>
            <w:bottom w:val="none" w:sz="0" w:space="0" w:color="auto"/>
            <w:right w:val="none" w:sz="0" w:space="0" w:color="auto"/>
          </w:divBdr>
        </w:div>
        <w:div w:id="602809217">
          <w:marLeft w:val="0"/>
          <w:marRight w:val="0"/>
          <w:marTop w:val="0"/>
          <w:marBottom w:val="0"/>
          <w:divBdr>
            <w:top w:val="none" w:sz="0" w:space="0" w:color="auto"/>
            <w:left w:val="none" w:sz="0" w:space="0" w:color="auto"/>
            <w:bottom w:val="none" w:sz="0" w:space="0" w:color="auto"/>
            <w:right w:val="none" w:sz="0" w:space="0" w:color="auto"/>
          </w:divBdr>
        </w:div>
        <w:div w:id="512111037">
          <w:marLeft w:val="0"/>
          <w:marRight w:val="0"/>
          <w:marTop w:val="0"/>
          <w:marBottom w:val="0"/>
          <w:divBdr>
            <w:top w:val="none" w:sz="0" w:space="0" w:color="auto"/>
            <w:left w:val="none" w:sz="0" w:space="0" w:color="auto"/>
            <w:bottom w:val="none" w:sz="0" w:space="0" w:color="auto"/>
            <w:right w:val="none" w:sz="0" w:space="0" w:color="auto"/>
          </w:divBdr>
        </w:div>
        <w:div w:id="689448931">
          <w:marLeft w:val="0"/>
          <w:marRight w:val="0"/>
          <w:marTop w:val="0"/>
          <w:marBottom w:val="0"/>
          <w:divBdr>
            <w:top w:val="none" w:sz="0" w:space="0" w:color="auto"/>
            <w:left w:val="none" w:sz="0" w:space="0" w:color="auto"/>
            <w:bottom w:val="none" w:sz="0" w:space="0" w:color="auto"/>
            <w:right w:val="none" w:sz="0" w:space="0" w:color="auto"/>
          </w:divBdr>
        </w:div>
        <w:div w:id="1038816865">
          <w:marLeft w:val="0"/>
          <w:marRight w:val="0"/>
          <w:marTop w:val="0"/>
          <w:marBottom w:val="0"/>
          <w:divBdr>
            <w:top w:val="none" w:sz="0" w:space="0" w:color="auto"/>
            <w:left w:val="none" w:sz="0" w:space="0" w:color="auto"/>
            <w:bottom w:val="none" w:sz="0" w:space="0" w:color="auto"/>
            <w:right w:val="none" w:sz="0" w:space="0" w:color="auto"/>
          </w:divBdr>
        </w:div>
        <w:div w:id="565603913">
          <w:marLeft w:val="0"/>
          <w:marRight w:val="0"/>
          <w:marTop w:val="0"/>
          <w:marBottom w:val="0"/>
          <w:divBdr>
            <w:top w:val="none" w:sz="0" w:space="0" w:color="auto"/>
            <w:left w:val="none" w:sz="0" w:space="0" w:color="auto"/>
            <w:bottom w:val="none" w:sz="0" w:space="0" w:color="auto"/>
            <w:right w:val="none" w:sz="0" w:space="0" w:color="auto"/>
          </w:divBdr>
        </w:div>
        <w:div w:id="241985554">
          <w:marLeft w:val="0"/>
          <w:marRight w:val="0"/>
          <w:marTop w:val="0"/>
          <w:marBottom w:val="0"/>
          <w:divBdr>
            <w:top w:val="none" w:sz="0" w:space="0" w:color="auto"/>
            <w:left w:val="none" w:sz="0" w:space="0" w:color="auto"/>
            <w:bottom w:val="none" w:sz="0" w:space="0" w:color="auto"/>
            <w:right w:val="none" w:sz="0" w:space="0" w:color="auto"/>
          </w:divBdr>
        </w:div>
        <w:div w:id="676426014">
          <w:marLeft w:val="0"/>
          <w:marRight w:val="0"/>
          <w:marTop w:val="0"/>
          <w:marBottom w:val="0"/>
          <w:divBdr>
            <w:top w:val="none" w:sz="0" w:space="0" w:color="auto"/>
            <w:left w:val="none" w:sz="0" w:space="0" w:color="auto"/>
            <w:bottom w:val="none" w:sz="0" w:space="0" w:color="auto"/>
            <w:right w:val="none" w:sz="0" w:space="0" w:color="auto"/>
          </w:divBdr>
        </w:div>
      </w:divsChild>
    </w:div>
    <w:div w:id="836119949">
      <w:bodyDiv w:val="1"/>
      <w:marLeft w:val="0"/>
      <w:marRight w:val="0"/>
      <w:marTop w:val="0"/>
      <w:marBottom w:val="0"/>
      <w:divBdr>
        <w:top w:val="none" w:sz="0" w:space="0" w:color="auto"/>
        <w:left w:val="none" w:sz="0" w:space="0" w:color="auto"/>
        <w:bottom w:val="none" w:sz="0" w:space="0" w:color="auto"/>
        <w:right w:val="none" w:sz="0" w:space="0" w:color="auto"/>
      </w:divBdr>
    </w:div>
    <w:div w:id="889419545">
      <w:bodyDiv w:val="1"/>
      <w:marLeft w:val="0"/>
      <w:marRight w:val="0"/>
      <w:marTop w:val="0"/>
      <w:marBottom w:val="0"/>
      <w:divBdr>
        <w:top w:val="none" w:sz="0" w:space="0" w:color="auto"/>
        <w:left w:val="none" w:sz="0" w:space="0" w:color="auto"/>
        <w:bottom w:val="none" w:sz="0" w:space="0" w:color="auto"/>
        <w:right w:val="none" w:sz="0" w:space="0" w:color="auto"/>
      </w:divBdr>
    </w:div>
    <w:div w:id="923338525">
      <w:bodyDiv w:val="1"/>
      <w:marLeft w:val="0"/>
      <w:marRight w:val="0"/>
      <w:marTop w:val="0"/>
      <w:marBottom w:val="0"/>
      <w:divBdr>
        <w:top w:val="none" w:sz="0" w:space="0" w:color="auto"/>
        <w:left w:val="none" w:sz="0" w:space="0" w:color="auto"/>
        <w:bottom w:val="none" w:sz="0" w:space="0" w:color="auto"/>
        <w:right w:val="none" w:sz="0" w:space="0" w:color="auto"/>
      </w:divBdr>
      <w:divsChild>
        <w:div w:id="1829780420">
          <w:marLeft w:val="0"/>
          <w:marRight w:val="0"/>
          <w:marTop w:val="0"/>
          <w:marBottom w:val="0"/>
          <w:divBdr>
            <w:top w:val="none" w:sz="0" w:space="0" w:color="auto"/>
            <w:left w:val="none" w:sz="0" w:space="0" w:color="auto"/>
            <w:bottom w:val="none" w:sz="0" w:space="0" w:color="auto"/>
            <w:right w:val="none" w:sz="0" w:space="0" w:color="auto"/>
          </w:divBdr>
        </w:div>
        <w:div w:id="1743794774">
          <w:marLeft w:val="0"/>
          <w:marRight w:val="0"/>
          <w:marTop w:val="0"/>
          <w:marBottom w:val="0"/>
          <w:divBdr>
            <w:top w:val="none" w:sz="0" w:space="0" w:color="auto"/>
            <w:left w:val="none" w:sz="0" w:space="0" w:color="auto"/>
            <w:bottom w:val="none" w:sz="0" w:space="0" w:color="auto"/>
            <w:right w:val="none" w:sz="0" w:space="0" w:color="auto"/>
          </w:divBdr>
        </w:div>
      </w:divsChild>
    </w:div>
    <w:div w:id="1000307961">
      <w:bodyDiv w:val="1"/>
      <w:marLeft w:val="0"/>
      <w:marRight w:val="0"/>
      <w:marTop w:val="0"/>
      <w:marBottom w:val="0"/>
      <w:divBdr>
        <w:top w:val="none" w:sz="0" w:space="0" w:color="auto"/>
        <w:left w:val="none" w:sz="0" w:space="0" w:color="auto"/>
        <w:bottom w:val="none" w:sz="0" w:space="0" w:color="auto"/>
        <w:right w:val="none" w:sz="0" w:space="0" w:color="auto"/>
      </w:divBdr>
    </w:div>
    <w:div w:id="1083340012">
      <w:bodyDiv w:val="1"/>
      <w:marLeft w:val="0"/>
      <w:marRight w:val="0"/>
      <w:marTop w:val="0"/>
      <w:marBottom w:val="0"/>
      <w:divBdr>
        <w:top w:val="none" w:sz="0" w:space="0" w:color="auto"/>
        <w:left w:val="none" w:sz="0" w:space="0" w:color="auto"/>
        <w:bottom w:val="none" w:sz="0" w:space="0" w:color="auto"/>
        <w:right w:val="none" w:sz="0" w:space="0" w:color="auto"/>
      </w:divBdr>
    </w:div>
    <w:div w:id="1214733138">
      <w:bodyDiv w:val="1"/>
      <w:marLeft w:val="0"/>
      <w:marRight w:val="0"/>
      <w:marTop w:val="0"/>
      <w:marBottom w:val="0"/>
      <w:divBdr>
        <w:top w:val="none" w:sz="0" w:space="0" w:color="auto"/>
        <w:left w:val="none" w:sz="0" w:space="0" w:color="auto"/>
        <w:bottom w:val="none" w:sz="0" w:space="0" w:color="auto"/>
        <w:right w:val="none" w:sz="0" w:space="0" w:color="auto"/>
      </w:divBdr>
    </w:div>
    <w:div w:id="1224369458">
      <w:bodyDiv w:val="1"/>
      <w:marLeft w:val="0"/>
      <w:marRight w:val="0"/>
      <w:marTop w:val="0"/>
      <w:marBottom w:val="0"/>
      <w:divBdr>
        <w:top w:val="none" w:sz="0" w:space="0" w:color="auto"/>
        <w:left w:val="none" w:sz="0" w:space="0" w:color="auto"/>
        <w:bottom w:val="none" w:sz="0" w:space="0" w:color="auto"/>
        <w:right w:val="none" w:sz="0" w:space="0" w:color="auto"/>
      </w:divBdr>
    </w:div>
    <w:div w:id="1241908458">
      <w:bodyDiv w:val="1"/>
      <w:marLeft w:val="0"/>
      <w:marRight w:val="0"/>
      <w:marTop w:val="0"/>
      <w:marBottom w:val="0"/>
      <w:divBdr>
        <w:top w:val="none" w:sz="0" w:space="0" w:color="auto"/>
        <w:left w:val="none" w:sz="0" w:space="0" w:color="auto"/>
        <w:bottom w:val="none" w:sz="0" w:space="0" w:color="auto"/>
        <w:right w:val="none" w:sz="0" w:space="0" w:color="auto"/>
      </w:divBdr>
    </w:div>
    <w:div w:id="1363705592">
      <w:bodyDiv w:val="1"/>
      <w:marLeft w:val="0"/>
      <w:marRight w:val="0"/>
      <w:marTop w:val="0"/>
      <w:marBottom w:val="0"/>
      <w:divBdr>
        <w:top w:val="none" w:sz="0" w:space="0" w:color="auto"/>
        <w:left w:val="none" w:sz="0" w:space="0" w:color="auto"/>
        <w:bottom w:val="none" w:sz="0" w:space="0" w:color="auto"/>
        <w:right w:val="none" w:sz="0" w:space="0" w:color="auto"/>
      </w:divBdr>
    </w:div>
    <w:div w:id="1433554128">
      <w:bodyDiv w:val="1"/>
      <w:marLeft w:val="0"/>
      <w:marRight w:val="0"/>
      <w:marTop w:val="0"/>
      <w:marBottom w:val="0"/>
      <w:divBdr>
        <w:top w:val="none" w:sz="0" w:space="0" w:color="auto"/>
        <w:left w:val="none" w:sz="0" w:space="0" w:color="auto"/>
        <w:bottom w:val="none" w:sz="0" w:space="0" w:color="auto"/>
        <w:right w:val="none" w:sz="0" w:space="0" w:color="auto"/>
      </w:divBdr>
      <w:divsChild>
        <w:div w:id="1309703520">
          <w:marLeft w:val="0"/>
          <w:marRight w:val="0"/>
          <w:marTop w:val="0"/>
          <w:marBottom w:val="0"/>
          <w:divBdr>
            <w:top w:val="none" w:sz="0" w:space="0" w:color="auto"/>
            <w:left w:val="none" w:sz="0" w:space="0" w:color="auto"/>
            <w:bottom w:val="none" w:sz="0" w:space="0" w:color="auto"/>
            <w:right w:val="none" w:sz="0" w:space="0" w:color="auto"/>
          </w:divBdr>
        </w:div>
        <w:div w:id="2083677736">
          <w:marLeft w:val="0"/>
          <w:marRight w:val="0"/>
          <w:marTop w:val="0"/>
          <w:marBottom w:val="0"/>
          <w:divBdr>
            <w:top w:val="none" w:sz="0" w:space="0" w:color="auto"/>
            <w:left w:val="none" w:sz="0" w:space="0" w:color="auto"/>
            <w:bottom w:val="none" w:sz="0" w:space="0" w:color="auto"/>
            <w:right w:val="none" w:sz="0" w:space="0" w:color="auto"/>
          </w:divBdr>
        </w:div>
        <w:div w:id="919481165">
          <w:marLeft w:val="0"/>
          <w:marRight w:val="0"/>
          <w:marTop w:val="0"/>
          <w:marBottom w:val="0"/>
          <w:divBdr>
            <w:top w:val="none" w:sz="0" w:space="0" w:color="auto"/>
            <w:left w:val="none" w:sz="0" w:space="0" w:color="auto"/>
            <w:bottom w:val="none" w:sz="0" w:space="0" w:color="auto"/>
            <w:right w:val="none" w:sz="0" w:space="0" w:color="auto"/>
          </w:divBdr>
        </w:div>
        <w:div w:id="1325013420">
          <w:marLeft w:val="0"/>
          <w:marRight w:val="0"/>
          <w:marTop w:val="0"/>
          <w:marBottom w:val="0"/>
          <w:divBdr>
            <w:top w:val="none" w:sz="0" w:space="0" w:color="auto"/>
            <w:left w:val="none" w:sz="0" w:space="0" w:color="auto"/>
            <w:bottom w:val="none" w:sz="0" w:space="0" w:color="auto"/>
            <w:right w:val="none" w:sz="0" w:space="0" w:color="auto"/>
          </w:divBdr>
        </w:div>
        <w:div w:id="2105344277">
          <w:marLeft w:val="0"/>
          <w:marRight w:val="0"/>
          <w:marTop w:val="0"/>
          <w:marBottom w:val="0"/>
          <w:divBdr>
            <w:top w:val="none" w:sz="0" w:space="0" w:color="auto"/>
            <w:left w:val="none" w:sz="0" w:space="0" w:color="auto"/>
            <w:bottom w:val="none" w:sz="0" w:space="0" w:color="auto"/>
            <w:right w:val="none" w:sz="0" w:space="0" w:color="auto"/>
          </w:divBdr>
        </w:div>
        <w:div w:id="265508738">
          <w:marLeft w:val="0"/>
          <w:marRight w:val="0"/>
          <w:marTop w:val="0"/>
          <w:marBottom w:val="0"/>
          <w:divBdr>
            <w:top w:val="none" w:sz="0" w:space="0" w:color="auto"/>
            <w:left w:val="none" w:sz="0" w:space="0" w:color="auto"/>
            <w:bottom w:val="none" w:sz="0" w:space="0" w:color="auto"/>
            <w:right w:val="none" w:sz="0" w:space="0" w:color="auto"/>
          </w:divBdr>
        </w:div>
        <w:div w:id="693119628">
          <w:marLeft w:val="0"/>
          <w:marRight w:val="0"/>
          <w:marTop w:val="0"/>
          <w:marBottom w:val="0"/>
          <w:divBdr>
            <w:top w:val="none" w:sz="0" w:space="0" w:color="auto"/>
            <w:left w:val="none" w:sz="0" w:space="0" w:color="auto"/>
            <w:bottom w:val="none" w:sz="0" w:space="0" w:color="auto"/>
            <w:right w:val="none" w:sz="0" w:space="0" w:color="auto"/>
          </w:divBdr>
        </w:div>
      </w:divsChild>
    </w:div>
    <w:div w:id="1494099688">
      <w:bodyDiv w:val="1"/>
      <w:marLeft w:val="0"/>
      <w:marRight w:val="0"/>
      <w:marTop w:val="0"/>
      <w:marBottom w:val="0"/>
      <w:divBdr>
        <w:top w:val="none" w:sz="0" w:space="0" w:color="auto"/>
        <w:left w:val="none" w:sz="0" w:space="0" w:color="auto"/>
        <w:bottom w:val="none" w:sz="0" w:space="0" w:color="auto"/>
        <w:right w:val="none" w:sz="0" w:space="0" w:color="auto"/>
      </w:divBdr>
    </w:div>
    <w:div w:id="1545631506">
      <w:bodyDiv w:val="1"/>
      <w:marLeft w:val="0"/>
      <w:marRight w:val="0"/>
      <w:marTop w:val="0"/>
      <w:marBottom w:val="0"/>
      <w:divBdr>
        <w:top w:val="none" w:sz="0" w:space="0" w:color="auto"/>
        <w:left w:val="none" w:sz="0" w:space="0" w:color="auto"/>
        <w:bottom w:val="none" w:sz="0" w:space="0" w:color="auto"/>
        <w:right w:val="none" w:sz="0" w:space="0" w:color="auto"/>
      </w:divBdr>
    </w:div>
    <w:div w:id="1564179580">
      <w:bodyDiv w:val="1"/>
      <w:marLeft w:val="0"/>
      <w:marRight w:val="0"/>
      <w:marTop w:val="0"/>
      <w:marBottom w:val="0"/>
      <w:divBdr>
        <w:top w:val="none" w:sz="0" w:space="0" w:color="auto"/>
        <w:left w:val="none" w:sz="0" w:space="0" w:color="auto"/>
        <w:bottom w:val="none" w:sz="0" w:space="0" w:color="auto"/>
        <w:right w:val="none" w:sz="0" w:space="0" w:color="auto"/>
      </w:divBdr>
    </w:div>
    <w:div w:id="1580796430">
      <w:bodyDiv w:val="1"/>
      <w:marLeft w:val="0"/>
      <w:marRight w:val="0"/>
      <w:marTop w:val="0"/>
      <w:marBottom w:val="0"/>
      <w:divBdr>
        <w:top w:val="none" w:sz="0" w:space="0" w:color="auto"/>
        <w:left w:val="none" w:sz="0" w:space="0" w:color="auto"/>
        <w:bottom w:val="none" w:sz="0" w:space="0" w:color="auto"/>
        <w:right w:val="none" w:sz="0" w:space="0" w:color="auto"/>
      </w:divBdr>
    </w:div>
    <w:div w:id="1662462424">
      <w:bodyDiv w:val="1"/>
      <w:marLeft w:val="0"/>
      <w:marRight w:val="0"/>
      <w:marTop w:val="0"/>
      <w:marBottom w:val="0"/>
      <w:divBdr>
        <w:top w:val="none" w:sz="0" w:space="0" w:color="auto"/>
        <w:left w:val="none" w:sz="0" w:space="0" w:color="auto"/>
        <w:bottom w:val="none" w:sz="0" w:space="0" w:color="auto"/>
        <w:right w:val="none" w:sz="0" w:space="0" w:color="auto"/>
      </w:divBdr>
    </w:div>
    <w:div w:id="1764060275">
      <w:bodyDiv w:val="1"/>
      <w:marLeft w:val="0"/>
      <w:marRight w:val="0"/>
      <w:marTop w:val="0"/>
      <w:marBottom w:val="0"/>
      <w:divBdr>
        <w:top w:val="none" w:sz="0" w:space="0" w:color="auto"/>
        <w:left w:val="none" w:sz="0" w:space="0" w:color="auto"/>
        <w:bottom w:val="none" w:sz="0" w:space="0" w:color="auto"/>
        <w:right w:val="none" w:sz="0" w:space="0" w:color="auto"/>
      </w:divBdr>
    </w:div>
    <w:div w:id="1797869506">
      <w:bodyDiv w:val="1"/>
      <w:marLeft w:val="0"/>
      <w:marRight w:val="0"/>
      <w:marTop w:val="0"/>
      <w:marBottom w:val="0"/>
      <w:divBdr>
        <w:top w:val="none" w:sz="0" w:space="0" w:color="auto"/>
        <w:left w:val="none" w:sz="0" w:space="0" w:color="auto"/>
        <w:bottom w:val="none" w:sz="0" w:space="0" w:color="auto"/>
        <w:right w:val="none" w:sz="0" w:space="0" w:color="auto"/>
      </w:divBdr>
    </w:div>
    <w:div w:id="1950508183">
      <w:bodyDiv w:val="1"/>
      <w:marLeft w:val="0"/>
      <w:marRight w:val="0"/>
      <w:marTop w:val="0"/>
      <w:marBottom w:val="0"/>
      <w:divBdr>
        <w:top w:val="none" w:sz="0" w:space="0" w:color="auto"/>
        <w:left w:val="none" w:sz="0" w:space="0" w:color="auto"/>
        <w:bottom w:val="none" w:sz="0" w:space="0" w:color="auto"/>
        <w:right w:val="none" w:sz="0" w:space="0" w:color="auto"/>
      </w:divBdr>
    </w:div>
    <w:div w:id="1990479551">
      <w:bodyDiv w:val="1"/>
      <w:marLeft w:val="0"/>
      <w:marRight w:val="0"/>
      <w:marTop w:val="0"/>
      <w:marBottom w:val="0"/>
      <w:divBdr>
        <w:top w:val="none" w:sz="0" w:space="0" w:color="auto"/>
        <w:left w:val="none" w:sz="0" w:space="0" w:color="auto"/>
        <w:bottom w:val="none" w:sz="0" w:space="0" w:color="auto"/>
        <w:right w:val="none" w:sz="0" w:space="0" w:color="auto"/>
      </w:divBdr>
      <w:divsChild>
        <w:div w:id="1862746352">
          <w:marLeft w:val="0"/>
          <w:marRight w:val="0"/>
          <w:marTop w:val="0"/>
          <w:marBottom w:val="0"/>
          <w:divBdr>
            <w:top w:val="none" w:sz="0" w:space="0" w:color="auto"/>
            <w:left w:val="none" w:sz="0" w:space="0" w:color="auto"/>
            <w:bottom w:val="none" w:sz="0" w:space="0" w:color="auto"/>
            <w:right w:val="none" w:sz="0" w:space="0" w:color="auto"/>
          </w:divBdr>
        </w:div>
        <w:div w:id="1663436579">
          <w:marLeft w:val="0"/>
          <w:marRight w:val="0"/>
          <w:marTop w:val="0"/>
          <w:marBottom w:val="0"/>
          <w:divBdr>
            <w:top w:val="none" w:sz="0" w:space="0" w:color="auto"/>
            <w:left w:val="none" w:sz="0" w:space="0" w:color="auto"/>
            <w:bottom w:val="none" w:sz="0" w:space="0" w:color="auto"/>
            <w:right w:val="none" w:sz="0" w:space="0" w:color="auto"/>
          </w:divBdr>
        </w:div>
        <w:div w:id="1209226478">
          <w:marLeft w:val="0"/>
          <w:marRight w:val="0"/>
          <w:marTop w:val="0"/>
          <w:marBottom w:val="0"/>
          <w:divBdr>
            <w:top w:val="none" w:sz="0" w:space="0" w:color="auto"/>
            <w:left w:val="none" w:sz="0" w:space="0" w:color="auto"/>
            <w:bottom w:val="none" w:sz="0" w:space="0" w:color="auto"/>
            <w:right w:val="none" w:sz="0" w:space="0" w:color="auto"/>
          </w:divBdr>
        </w:div>
        <w:div w:id="1062824584">
          <w:marLeft w:val="0"/>
          <w:marRight w:val="0"/>
          <w:marTop w:val="0"/>
          <w:marBottom w:val="0"/>
          <w:divBdr>
            <w:top w:val="none" w:sz="0" w:space="0" w:color="auto"/>
            <w:left w:val="none" w:sz="0" w:space="0" w:color="auto"/>
            <w:bottom w:val="none" w:sz="0" w:space="0" w:color="auto"/>
            <w:right w:val="none" w:sz="0" w:space="0" w:color="auto"/>
          </w:divBdr>
        </w:div>
        <w:div w:id="396364670">
          <w:marLeft w:val="0"/>
          <w:marRight w:val="0"/>
          <w:marTop w:val="0"/>
          <w:marBottom w:val="0"/>
          <w:divBdr>
            <w:top w:val="none" w:sz="0" w:space="0" w:color="auto"/>
            <w:left w:val="none" w:sz="0" w:space="0" w:color="auto"/>
            <w:bottom w:val="none" w:sz="0" w:space="0" w:color="auto"/>
            <w:right w:val="none" w:sz="0" w:space="0" w:color="auto"/>
          </w:divBdr>
        </w:div>
        <w:div w:id="1785297711">
          <w:marLeft w:val="0"/>
          <w:marRight w:val="0"/>
          <w:marTop w:val="0"/>
          <w:marBottom w:val="0"/>
          <w:divBdr>
            <w:top w:val="none" w:sz="0" w:space="0" w:color="auto"/>
            <w:left w:val="none" w:sz="0" w:space="0" w:color="auto"/>
            <w:bottom w:val="none" w:sz="0" w:space="0" w:color="auto"/>
            <w:right w:val="none" w:sz="0" w:space="0" w:color="auto"/>
          </w:divBdr>
        </w:div>
        <w:div w:id="1473710637">
          <w:marLeft w:val="0"/>
          <w:marRight w:val="0"/>
          <w:marTop w:val="0"/>
          <w:marBottom w:val="0"/>
          <w:divBdr>
            <w:top w:val="none" w:sz="0" w:space="0" w:color="auto"/>
            <w:left w:val="none" w:sz="0" w:space="0" w:color="auto"/>
            <w:bottom w:val="none" w:sz="0" w:space="0" w:color="auto"/>
            <w:right w:val="none" w:sz="0" w:space="0" w:color="auto"/>
          </w:divBdr>
        </w:div>
        <w:div w:id="2093238497">
          <w:marLeft w:val="0"/>
          <w:marRight w:val="0"/>
          <w:marTop w:val="0"/>
          <w:marBottom w:val="0"/>
          <w:divBdr>
            <w:top w:val="none" w:sz="0" w:space="0" w:color="auto"/>
            <w:left w:val="none" w:sz="0" w:space="0" w:color="auto"/>
            <w:bottom w:val="none" w:sz="0" w:space="0" w:color="auto"/>
            <w:right w:val="none" w:sz="0" w:space="0" w:color="auto"/>
          </w:divBdr>
        </w:div>
      </w:divsChild>
    </w:div>
    <w:div w:id="2023817689">
      <w:bodyDiv w:val="1"/>
      <w:marLeft w:val="0"/>
      <w:marRight w:val="0"/>
      <w:marTop w:val="0"/>
      <w:marBottom w:val="0"/>
      <w:divBdr>
        <w:top w:val="none" w:sz="0" w:space="0" w:color="auto"/>
        <w:left w:val="none" w:sz="0" w:space="0" w:color="auto"/>
        <w:bottom w:val="none" w:sz="0" w:space="0" w:color="auto"/>
        <w:right w:val="none" w:sz="0" w:space="0" w:color="auto"/>
      </w:divBdr>
      <w:divsChild>
        <w:div w:id="1105227057">
          <w:marLeft w:val="0"/>
          <w:marRight w:val="0"/>
          <w:marTop w:val="0"/>
          <w:marBottom w:val="0"/>
          <w:divBdr>
            <w:top w:val="none" w:sz="0" w:space="0" w:color="auto"/>
            <w:left w:val="none" w:sz="0" w:space="0" w:color="auto"/>
            <w:bottom w:val="none" w:sz="0" w:space="0" w:color="auto"/>
            <w:right w:val="none" w:sz="0" w:space="0" w:color="auto"/>
          </w:divBdr>
        </w:div>
        <w:div w:id="105545129">
          <w:marLeft w:val="0"/>
          <w:marRight w:val="0"/>
          <w:marTop w:val="0"/>
          <w:marBottom w:val="0"/>
          <w:divBdr>
            <w:top w:val="none" w:sz="0" w:space="0" w:color="auto"/>
            <w:left w:val="none" w:sz="0" w:space="0" w:color="auto"/>
            <w:bottom w:val="none" w:sz="0" w:space="0" w:color="auto"/>
            <w:right w:val="none" w:sz="0" w:space="0" w:color="auto"/>
          </w:divBdr>
        </w:div>
        <w:div w:id="1687824206">
          <w:marLeft w:val="0"/>
          <w:marRight w:val="0"/>
          <w:marTop w:val="0"/>
          <w:marBottom w:val="0"/>
          <w:divBdr>
            <w:top w:val="none" w:sz="0" w:space="0" w:color="auto"/>
            <w:left w:val="none" w:sz="0" w:space="0" w:color="auto"/>
            <w:bottom w:val="none" w:sz="0" w:space="0" w:color="auto"/>
            <w:right w:val="none" w:sz="0" w:space="0" w:color="auto"/>
          </w:divBdr>
        </w:div>
        <w:div w:id="2116171834">
          <w:marLeft w:val="0"/>
          <w:marRight w:val="0"/>
          <w:marTop w:val="0"/>
          <w:marBottom w:val="0"/>
          <w:divBdr>
            <w:top w:val="none" w:sz="0" w:space="0" w:color="auto"/>
            <w:left w:val="none" w:sz="0" w:space="0" w:color="auto"/>
            <w:bottom w:val="none" w:sz="0" w:space="0" w:color="auto"/>
            <w:right w:val="none" w:sz="0" w:space="0" w:color="auto"/>
          </w:divBdr>
        </w:div>
        <w:div w:id="774985710">
          <w:marLeft w:val="0"/>
          <w:marRight w:val="0"/>
          <w:marTop w:val="0"/>
          <w:marBottom w:val="0"/>
          <w:divBdr>
            <w:top w:val="none" w:sz="0" w:space="0" w:color="auto"/>
            <w:left w:val="none" w:sz="0" w:space="0" w:color="auto"/>
            <w:bottom w:val="none" w:sz="0" w:space="0" w:color="auto"/>
            <w:right w:val="none" w:sz="0" w:space="0" w:color="auto"/>
          </w:divBdr>
        </w:div>
      </w:divsChild>
    </w:div>
    <w:div w:id="2040274691">
      <w:bodyDiv w:val="1"/>
      <w:marLeft w:val="0"/>
      <w:marRight w:val="0"/>
      <w:marTop w:val="0"/>
      <w:marBottom w:val="0"/>
      <w:divBdr>
        <w:top w:val="none" w:sz="0" w:space="0" w:color="auto"/>
        <w:left w:val="none" w:sz="0" w:space="0" w:color="auto"/>
        <w:bottom w:val="none" w:sz="0" w:space="0" w:color="auto"/>
        <w:right w:val="none" w:sz="0" w:space="0" w:color="auto"/>
      </w:divBdr>
    </w:div>
    <w:div w:id="2051487355">
      <w:bodyDiv w:val="1"/>
      <w:marLeft w:val="0"/>
      <w:marRight w:val="0"/>
      <w:marTop w:val="0"/>
      <w:marBottom w:val="0"/>
      <w:divBdr>
        <w:top w:val="none" w:sz="0" w:space="0" w:color="auto"/>
        <w:left w:val="none" w:sz="0" w:space="0" w:color="auto"/>
        <w:bottom w:val="none" w:sz="0" w:space="0" w:color="auto"/>
        <w:right w:val="none" w:sz="0" w:space="0" w:color="auto"/>
      </w:divBdr>
    </w:div>
    <w:div w:id="2104758943">
      <w:bodyDiv w:val="1"/>
      <w:marLeft w:val="0"/>
      <w:marRight w:val="0"/>
      <w:marTop w:val="0"/>
      <w:marBottom w:val="0"/>
      <w:divBdr>
        <w:top w:val="none" w:sz="0" w:space="0" w:color="auto"/>
        <w:left w:val="none" w:sz="0" w:space="0" w:color="auto"/>
        <w:bottom w:val="none" w:sz="0" w:space="0" w:color="auto"/>
        <w:right w:val="none" w:sz="0" w:space="0" w:color="auto"/>
      </w:divBdr>
      <w:divsChild>
        <w:div w:id="1293364179">
          <w:marLeft w:val="0"/>
          <w:marRight w:val="0"/>
          <w:marTop w:val="0"/>
          <w:marBottom w:val="0"/>
          <w:divBdr>
            <w:top w:val="none" w:sz="0" w:space="0" w:color="auto"/>
            <w:left w:val="none" w:sz="0" w:space="0" w:color="auto"/>
            <w:bottom w:val="none" w:sz="0" w:space="0" w:color="auto"/>
            <w:right w:val="none" w:sz="0" w:space="0" w:color="auto"/>
          </w:divBdr>
        </w:div>
        <w:div w:id="1396775300">
          <w:marLeft w:val="0"/>
          <w:marRight w:val="0"/>
          <w:marTop w:val="0"/>
          <w:marBottom w:val="0"/>
          <w:divBdr>
            <w:top w:val="none" w:sz="0" w:space="0" w:color="auto"/>
            <w:left w:val="none" w:sz="0" w:space="0" w:color="auto"/>
            <w:bottom w:val="none" w:sz="0" w:space="0" w:color="auto"/>
            <w:right w:val="none" w:sz="0" w:space="0" w:color="auto"/>
          </w:divBdr>
        </w:div>
        <w:div w:id="1667895903">
          <w:marLeft w:val="0"/>
          <w:marRight w:val="0"/>
          <w:marTop w:val="0"/>
          <w:marBottom w:val="0"/>
          <w:divBdr>
            <w:top w:val="none" w:sz="0" w:space="0" w:color="auto"/>
            <w:left w:val="none" w:sz="0" w:space="0" w:color="auto"/>
            <w:bottom w:val="none" w:sz="0" w:space="0" w:color="auto"/>
            <w:right w:val="none" w:sz="0" w:space="0" w:color="auto"/>
          </w:divBdr>
        </w:div>
        <w:div w:id="1632174169">
          <w:marLeft w:val="0"/>
          <w:marRight w:val="0"/>
          <w:marTop w:val="0"/>
          <w:marBottom w:val="0"/>
          <w:divBdr>
            <w:top w:val="none" w:sz="0" w:space="0" w:color="auto"/>
            <w:left w:val="none" w:sz="0" w:space="0" w:color="auto"/>
            <w:bottom w:val="none" w:sz="0" w:space="0" w:color="auto"/>
            <w:right w:val="none" w:sz="0" w:space="0" w:color="auto"/>
          </w:divBdr>
        </w:div>
        <w:div w:id="1515462288">
          <w:marLeft w:val="0"/>
          <w:marRight w:val="0"/>
          <w:marTop w:val="0"/>
          <w:marBottom w:val="0"/>
          <w:divBdr>
            <w:top w:val="none" w:sz="0" w:space="0" w:color="auto"/>
            <w:left w:val="none" w:sz="0" w:space="0" w:color="auto"/>
            <w:bottom w:val="none" w:sz="0" w:space="0" w:color="auto"/>
            <w:right w:val="none" w:sz="0" w:space="0" w:color="auto"/>
          </w:divBdr>
        </w:div>
        <w:div w:id="2044400745">
          <w:marLeft w:val="0"/>
          <w:marRight w:val="0"/>
          <w:marTop w:val="0"/>
          <w:marBottom w:val="0"/>
          <w:divBdr>
            <w:top w:val="none" w:sz="0" w:space="0" w:color="auto"/>
            <w:left w:val="none" w:sz="0" w:space="0" w:color="auto"/>
            <w:bottom w:val="none" w:sz="0" w:space="0" w:color="auto"/>
            <w:right w:val="none" w:sz="0" w:space="0" w:color="auto"/>
          </w:divBdr>
        </w:div>
        <w:div w:id="479617634">
          <w:marLeft w:val="0"/>
          <w:marRight w:val="0"/>
          <w:marTop w:val="0"/>
          <w:marBottom w:val="0"/>
          <w:divBdr>
            <w:top w:val="none" w:sz="0" w:space="0" w:color="auto"/>
            <w:left w:val="none" w:sz="0" w:space="0" w:color="auto"/>
            <w:bottom w:val="none" w:sz="0" w:space="0" w:color="auto"/>
            <w:right w:val="none" w:sz="0" w:space="0" w:color="auto"/>
          </w:divBdr>
        </w:div>
        <w:div w:id="2126849220">
          <w:marLeft w:val="0"/>
          <w:marRight w:val="0"/>
          <w:marTop w:val="0"/>
          <w:marBottom w:val="0"/>
          <w:divBdr>
            <w:top w:val="none" w:sz="0" w:space="0" w:color="auto"/>
            <w:left w:val="none" w:sz="0" w:space="0" w:color="auto"/>
            <w:bottom w:val="none" w:sz="0" w:space="0" w:color="auto"/>
            <w:right w:val="none" w:sz="0" w:space="0" w:color="auto"/>
          </w:divBdr>
        </w:div>
      </w:divsChild>
    </w:div>
    <w:div w:id="2134513325">
      <w:bodyDiv w:val="1"/>
      <w:marLeft w:val="0"/>
      <w:marRight w:val="0"/>
      <w:marTop w:val="0"/>
      <w:marBottom w:val="0"/>
      <w:divBdr>
        <w:top w:val="none" w:sz="0" w:space="0" w:color="auto"/>
        <w:left w:val="none" w:sz="0" w:space="0" w:color="auto"/>
        <w:bottom w:val="none" w:sz="0" w:space="0" w:color="auto"/>
        <w:right w:val="none" w:sz="0" w:space="0" w:color="auto"/>
      </w:divBdr>
      <w:divsChild>
        <w:div w:id="1496409716">
          <w:marLeft w:val="0"/>
          <w:marRight w:val="0"/>
          <w:marTop w:val="0"/>
          <w:marBottom w:val="0"/>
          <w:divBdr>
            <w:top w:val="none" w:sz="0" w:space="0" w:color="auto"/>
            <w:left w:val="none" w:sz="0" w:space="0" w:color="auto"/>
            <w:bottom w:val="none" w:sz="0" w:space="0" w:color="auto"/>
            <w:right w:val="none" w:sz="0" w:space="0" w:color="auto"/>
          </w:divBdr>
        </w:div>
        <w:div w:id="88741956">
          <w:marLeft w:val="0"/>
          <w:marRight w:val="0"/>
          <w:marTop w:val="0"/>
          <w:marBottom w:val="0"/>
          <w:divBdr>
            <w:top w:val="none" w:sz="0" w:space="0" w:color="auto"/>
            <w:left w:val="none" w:sz="0" w:space="0" w:color="auto"/>
            <w:bottom w:val="none" w:sz="0" w:space="0" w:color="auto"/>
            <w:right w:val="none" w:sz="0" w:space="0" w:color="auto"/>
          </w:divBdr>
        </w:div>
      </w:divsChild>
    </w:div>
    <w:div w:id="2146849031">
      <w:bodyDiv w:val="1"/>
      <w:marLeft w:val="0"/>
      <w:marRight w:val="0"/>
      <w:marTop w:val="0"/>
      <w:marBottom w:val="0"/>
      <w:divBdr>
        <w:top w:val="none" w:sz="0" w:space="0" w:color="auto"/>
        <w:left w:val="none" w:sz="0" w:space="0" w:color="auto"/>
        <w:bottom w:val="none" w:sz="0" w:space="0" w:color="auto"/>
        <w:right w:val="none" w:sz="0" w:space="0" w:color="auto"/>
      </w:divBdr>
      <w:divsChild>
        <w:div w:id="1373111144">
          <w:marLeft w:val="0"/>
          <w:marRight w:val="0"/>
          <w:marTop w:val="0"/>
          <w:marBottom w:val="0"/>
          <w:divBdr>
            <w:top w:val="none" w:sz="0" w:space="0" w:color="auto"/>
            <w:left w:val="none" w:sz="0" w:space="0" w:color="auto"/>
            <w:bottom w:val="none" w:sz="0" w:space="0" w:color="auto"/>
            <w:right w:val="none" w:sz="0" w:space="0" w:color="auto"/>
          </w:divBdr>
        </w:div>
        <w:div w:id="636763976">
          <w:marLeft w:val="0"/>
          <w:marRight w:val="0"/>
          <w:marTop w:val="0"/>
          <w:marBottom w:val="0"/>
          <w:divBdr>
            <w:top w:val="none" w:sz="0" w:space="0" w:color="auto"/>
            <w:left w:val="none" w:sz="0" w:space="0" w:color="auto"/>
            <w:bottom w:val="none" w:sz="0" w:space="0" w:color="auto"/>
            <w:right w:val="none" w:sz="0" w:space="0" w:color="auto"/>
          </w:divBdr>
        </w:div>
        <w:div w:id="1043478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tiff"/><Relationship Id="rId18" Type="http://schemas.openxmlformats.org/officeDocument/2006/relationships/image" Target="media/image7.png"/><Relationship Id="rId26" Type="http://schemas.openxmlformats.org/officeDocument/2006/relationships/image" Target="media/image13.jpeg"/><Relationship Id="rId3" Type="http://schemas.openxmlformats.org/officeDocument/2006/relationships/customXml" Target="../customXml/item3.xml"/><Relationship Id="rId21" Type="http://schemas.openxmlformats.org/officeDocument/2006/relationships/chart" Target="charts/chart1.xml"/><Relationship Id="rId34"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consumercredit@treasury.gov.au?subject=Response+to%3A+Small+Amount+Credit+Contract+and+Consumer+Lease+Reforms" TargetMode="External"/><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e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emf"/><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9.emf"/><Relationship Id="rId27" Type="http://schemas.openxmlformats.org/officeDocument/2006/relationships/image" Target="media/image14.png"/><Relationship Id="rId30" Type="http://schemas.openxmlformats.org/officeDocument/2006/relationships/header" Target="header1.xml"/><Relationship Id="rId35"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info@consumeraction.org.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sic.gov.au/about-asic/media-centre/find-a-media-release/2016-releases/16-403mr-asic-cancels-credit-licence-of-rent-to-own-appliances/" TargetMode="External"/><Relationship Id="rId13" Type="http://schemas.openxmlformats.org/officeDocument/2006/relationships/hyperlink" Target="https://www.fca.org.uk/publication/feedback/fs17-02.pdf" TargetMode="External"/><Relationship Id="rId18" Type="http://schemas.openxmlformats.org/officeDocument/2006/relationships/hyperlink" Target="https://digitalinclusionindex.org.au/wp-content/uploads/2016/08/Australian-Digital-Inclusion-Index-2017.pdf" TargetMode="External"/><Relationship Id="rId3" Type="http://schemas.openxmlformats.org/officeDocument/2006/relationships/hyperlink" Target="http://asic.gov.au/about-asic/media-centre/find-a-media-release/2017-releases/17-150mr-motor-finance-wizard-to-pay-over-11-million-in-remediation-over-responsible-lending-concerns/" TargetMode="External"/><Relationship Id="rId21" Type="http://schemas.openxmlformats.org/officeDocument/2006/relationships/hyperlink" Target="https://static.treasury.gov.au/uploads/sites/1/2017/06/C2016-016_SACC-Final-Report.pdf" TargetMode="External"/><Relationship Id="rId7" Type="http://schemas.openxmlformats.org/officeDocument/2006/relationships/hyperlink" Target="http://asic.gov.au/about-asic/media-centre/find-a-media-release/2017-releases/17-060mr-payday-lenders-fined-730-000-for-diamond-trading-sham/" TargetMode="External"/><Relationship Id="rId12" Type="http://schemas.openxmlformats.org/officeDocument/2006/relationships/hyperlink" Target="http://www.ncpa.net.au/assets/reports/2017/Core%20Data%20SACC%20Report%20Dec%202016.pdf" TargetMode="External"/><Relationship Id="rId17" Type="http://schemas.openxmlformats.org/officeDocument/2006/relationships/hyperlink" Target="https://www.ag.gov.au/Publications/Documents/GuideforPractitioners.pdf" TargetMode="External"/><Relationship Id="rId2" Type="http://schemas.openxmlformats.org/officeDocument/2006/relationships/hyperlink" Target="http://asic.gov.au/about-asic/media-centre/find-a-media-release/2017-releases/17-243mr-the-rental-guys-refund-more-than-100-000-to-vulnerable-consumers/" TargetMode="External"/><Relationship Id="rId16" Type="http://schemas.openxmlformats.org/officeDocument/2006/relationships/hyperlink" Target="http://asic.gov.au/about-asic/media-centre/find-a-media-release/2017-releases/17-150mr-motor-finance-wizard-to-pay-over-11-million-in-remediation-over-responsible-lending-concerns/" TargetMode="External"/><Relationship Id="rId20" Type="http://schemas.openxmlformats.org/officeDocument/2006/relationships/hyperlink" Target="http://consumeraction.org.au/wp-content/uploads/2015/10/The-Stressed-Financial-Landscape-Data-Analysis-DFA1.pdf" TargetMode="External"/><Relationship Id="rId1" Type="http://schemas.openxmlformats.org/officeDocument/2006/relationships/hyperlink" Target="https://static.treasury.gov.au/uploads/sites/1/2017/06/C2016-016_SACC-Final-Report.pdf" TargetMode="External"/><Relationship Id="rId6" Type="http://schemas.openxmlformats.org/officeDocument/2006/relationships/hyperlink" Target="http://asic.gov.au/about-asic/media-centre/find-a-media-release/2017-releases/17-336mr-asic-bans-director-of-unlicensed-payday-lender/" TargetMode="External"/><Relationship Id="rId11" Type="http://schemas.openxmlformats.org/officeDocument/2006/relationships/hyperlink" Target="http://www.ncpa.net.au/assets/submissions/2015/NCPA%20Submission%20to%20SACC%20Review%20October%202015%20-%20FINAL.PDF" TargetMode="External"/><Relationship Id="rId5" Type="http://schemas.openxmlformats.org/officeDocument/2006/relationships/hyperlink" Target="http://asic.gov.au/about-asic/media-centre/find-a-media-release/2017-releases/17-344mr-asic-concerns-see-web-moneyline-pty-ltd-stop-offering-loan-product/" TargetMode="External"/><Relationship Id="rId15" Type="http://schemas.openxmlformats.org/officeDocument/2006/relationships/hyperlink" Target="http://consumeraction.org.au/asic-raises-concern-about-carboodles-potentially-misleading-representations/" TargetMode="External"/><Relationship Id="rId23" Type="http://schemas.openxmlformats.org/officeDocument/2006/relationships/hyperlink" Target="https://cdn.tspace.gov.au/uploads/sites/86/2017/04/ACL_Review_Final_Report.pdf" TargetMode="External"/><Relationship Id="rId10" Type="http://schemas.openxmlformats.org/officeDocument/2006/relationships/hyperlink" Target="http://www.ncpa.net.au/assets/reports/2017/Core%20Data%20SACC%20Report%20Dec%202016.pdf" TargetMode="External"/><Relationship Id="rId19" Type="http://schemas.openxmlformats.org/officeDocument/2006/relationships/hyperlink" Target="https://www.ato.gov.au/Calculators-and-tools/Gross-pay-estimator/" TargetMode="External"/><Relationship Id="rId4" Type="http://schemas.openxmlformats.org/officeDocument/2006/relationships/hyperlink" Target="http://asic.gov.au/about-asic/media-centre/find-a-media-release/2017-releases/17-343mr-asic-concerns-see-good-to-go-loans-pty-ltd-stop-offering-loan-product/" TargetMode="External"/><Relationship Id="rId9" Type="http://schemas.openxmlformats.org/officeDocument/2006/relationships/hyperlink" Target="https://www.cio.org.au/assets/4130557/CIO%202017%20Annual%20Report%20on%20Operations.pdf" TargetMode="External"/><Relationship Id="rId14" Type="http://schemas.openxmlformats.org/officeDocument/2006/relationships/hyperlink" Target="http://consumeraction.org.au/motor-finance-wizard-general-information/" TargetMode="External"/><Relationship Id="rId22" Type="http://schemas.openxmlformats.org/officeDocument/2006/relationships/hyperlink" Target="http://asic.gov.au/about-asic/media-centre/find-a-media-release/2015-releases/15-249mr-asic-finds-the-cost-of-consumer-leases-can-be-as-high-as-884/" TargetMode="Externa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ALCSERVER\RedirectedFolders\Katherine\Desktop\Payday%20loan%20sta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Impact of protected earnings amount on family budgets</a:t>
            </a:r>
          </a:p>
        </c:rich>
      </c:tx>
      <c:overlay val="0"/>
      <c:spPr>
        <a:noFill/>
        <a:ln>
          <a:noFill/>
        </a:ln>
        <a:effectLst/>
      </c:spPr>
    </c:title>
    <c:autoTitleDeleted val="0"/>
    <c:plotArea>
      <c:layout/>
      <c:barChart>
        <c:barDir val="col"/>
        <c:grouping val="clustered"/>
        <c:varyColors val="0"/>
        <c:ser>
          <c:idx val="0"/>
          <c:order val="0"/>
          <c:tx>
            <c:strRef>
              <c:f>Sheet1!$A$12</c:f>
              <c:strCache>
                <c:ptCount val="1"/>
                <c:pt idx="0">
                  <c:v>20% cap (gross income)</c:v>
                </c:pt>
              </c:strCache>
            </c:strRef>
          </c:tx>
          <c:spPr>
            <a:solidFill>
              <a:schemeClr val="accent1"/>
            </a:solidFill>
            <a:ln>
              <a:noFill/>
            </a:ln>
            <a:effectLst/>
          </c:spPr>
          <c:invertIfNegative val="0"/>
          <c:cat>
            <c:strRef>
              <c:f>Sheet1!$B$11:$D$11</c:f>
              <c:strCache>
                <c:ptCount val="3"/>
                <c:pt idx="0">
                  <c:v>Net income: $1,500/mth</c:v>
                </c:pt>
                <c:pt idx="1">
                  <c:v>$3,000/mth</c:v>
                </c:pt>
                <c:pt idx="2">
                  <c:v>$4,500/mth</c:v>
                </c:pt>
              </c:strCache>
            </c:strRef>
          </c:cat>
          <c:val>
            <c:numRef>
              <c:f>Sheet1!$B$12:$D$12</c:f>
              <c:numCache>
                <c:formatCode>[$$-C09]#,##0.00</c:formatCode>
                <c:ptCount val="3"/>
                <c:pt idx="0">
                  <c:v>300</c:v>
                </c:pt>
                <c:pt idx="1">
                  <c:v>685.6</c:v>
                </c:pt>
                <c:pt idx="2">
                  <c:v>1160.2</c:v>
                </c:pt>
              </c:numCache>
            </c:numRef>
          </c:val>
          <c:extLst xmlns:c16r2="http://schemas.microsoft.com/office/drawing/2015/06/chart">
            <c:ext xmlns:c16="http://schemas.microsoft.com/office/drawing/2014/chart" uri="{C3380CC4-5D6E-409C-BE32-E72D297353CC}">
              <c16:uniqueId val="{00000000-3189-4C05-93E8-0DE6A4B4EFC0}"/>
            </c:ext>
          </c:extLst>
        </c:ser>
        <c:ser>
          <c:idx val="1"/>
          <c:order val="1"/>
          <c:tx>
            <c:strRef>
              <c:f>Sheet1!$A$13</c:f>
              <c:strCache>
                <c:ptCount val="1"/>
                <c:pt idx="0">
                  <c:v>Proposed 10% cap (net income)</c:v>
                </c:pt>
              </c:strCache>
            </c:strRef>
          </c:tx>
          <c:spPr>
            <a:solidFill>
              <a:schemeClr val="accent2"/>
            </a:solidFill>
            <a:ln>
              <a:noFill/>
            </a:ln>
            <a:effectLst/>
          </c:spPr>
          <c:invertIfNegative val="0"/>
          <c:cat>
            <c:strRef>
              <c:f>Sheet1!$B$11:$D$11</c:f>
              <c:strCache>
                <c:ptCount val="3"/>
                <c:pt idx="0">
                  <c:v>Net income: $1,500/mth</c:v>
                </c:pt>
                <c:pt idx="1">
                  <c:v>$3,000/mth</c:v>
                </c:pt>
                <c:pt idx="2">
                  <c:v>$4,500/mth</c:v>
                </c:pt>
              </c:strCache>
            </c:strRef>
          </c:cat>
          <c:val>
            <c:numRef>
              <c:f>Sheet1!$B$13:$D$13</c:f>
              <c:numCache>
                <c:formatCode>[$$-C09]#,##0.00</c:formatCode>
                <c:ptCount val="3"/>
                <c:pt idx="0">
                  <c:v>150</c:v>
                </c:pt>
                <c:pt idx="1">
                  <c:v>300</c:v>
                </c:pt>
                <c:pt idx="2">
                  <c:v>450</c:v>
                </c:pt>
              </c:numCache>
            </c:numRef>
          </c:val>
          <c:extLst xmlns:c16r2="http://schemas.microsoft.com/office/drawing/2015/06/chart">
            <c:ext xmlns:c16="http://schemas.microsoft.com/office/drawing/2014/chart" uri="{C3380CC4-5D6E-409C-BE32-E72D297353CC}">
              <c16:uniqueId val="{00000001-3189-4C05-93E8-0DE6A4B4EFC0}"/>
            </c:ext>
          </c:extLst>
        </c:ser>
        <c:ser>
          <c:idx val="2"/>
          <c:order val="2"/>
          <c:tx>
            <c:strRef>
              <c:f>Sheet1!$A$14</c:f>
              <c:strCache>
                <c:ptCount val="1"/>
                <c:pt idx="0">
                  <c:v>Extra money for expenses/mth</c:v>
                </c:pt>
              </c:strCache>
            </c:strRef>
          </c:tx>
          <c:spPr>
            <a:solidFill>
              <a:schemeClr val="accent3"/>
            </a:solidFill>
            <a:ln>
              <a:noFill/>
            </a:ln>
            <a:effectLst/>
          </c:spPr>
          <c:invertIfNegative val="0"/>
          <c:cat>
            <c:strRef>
              <c:f>Sheet1!$B$11:$D$11</c:f>
              <c:strCache>
                <c:ptCount val="3"/>
                <c:pt idx="0">
                  <c:v>Net income: $1,500/mth</c:v>
                </c:pt>
                <c:pt idx="1">
                  <c:v>$3,000/mth</c:v>
                </c:pt>
                <c:pt idx="2">
                  <c:v>$4,500/mth</c:v>
                </c:pt>
              </c:strCache>
            </c:strRef>
          </c:cat>
          <c:val>
            <c:numRef>
              <c:f>Sheet1!$B$14:$D$14</c:f>
              <c:numCache>
                <c:formatCode>[$$-C09]#,##0.00</c:formatCode>
                <c:ptCount val="3"/>
                <c:pt idx="0">
                  <c:v>150</c:v>
                </c:pt>
                <c:pt idx="1">
                  <c:v>385.6</c:v>
                </c:pt>
                <c:pt idx="2">
                  <c:v>710.2</c:v>
                </c:pt>
              </c:numCache>
            </c:numRef>
          </c:val>
          <c:extLst xmlns:c16r2="http://schemas.microsoft.com/office/drawing/2015/06/chart">
            <c:ext xmlns:c16="http://schemas.microsoft.com/office/drawing/2014/chart" uri="{C3380CC4-5D6E-409C-BE32-E72D297353CC}">
              <c16:uniqueId val="{00000002-3189-4C05-93E8-0DE6A4B4EFC0}"/>
            </c:ext>
          </c:extLst>
        </c:ser>
        <c:dLbls>
          <c:showLegendKey val="0"/>
          <c:showVal val="0"/>
          <c:showCatName val="0"/>
          <c:showSerName val="0"/>
          <c:showPercent val="0"/>
          <c:showBubbleSize val="0"/>
        </c:dLbls>
        <c:gapWidth val="219"/>
        <c:overlap val="-27"/>
        <c:axId val="118513664"/>
        <c:axId val="118515200"/>
      </c:barChart>
      <c:catAx>
        <c:axId val="118513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8515200"/>
        <c:crosses val="autoZero"/>
        <c:auto val="0"/>
        <c:lblAlgn val="ctr"/>
        <c:lblOffset val="100"/>
        <c:noMultiLvlLbl val="0"/>
      </c:catAx>
      <c:valAx>
        <c:axId val="118515200"/>
        <c:scaling>
          <c:orientation val="minMax"/>
        </c:scaling>
        <c:delete val="0"/>
        <c:axPos val="l"/>
        <c:majorGridlines>
          <c:spPr>
            <a:ln w="9525" cap="flat" cmpd="sng" algn="ctr">
              <a:solidFill>
                <a:schemeClr val="tx1">
                  <a:lumMod val="15000"/>
                  <a:lumOff val="85000"/>
                </a:schemeClr>
              </a:solidFill>
              <a:round/>
            </a:ln>
            <a:effectLst/>
          </c:spPr>
        </c:majorGridlines>
        <c:numFmt formatCode="[$$-C09]#,##0;[Red][$$-C09]#,##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8513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D9B596554C2C46B313763ED0A384FB" ma:contentTypeVersion="4" ma:contentTypeDescription="Create a new document." ma:contentTypeScope="" ma:versionID="77fb5d23e1596005fe541fcacbc3d5d7">
  <xsd:schema xmlns:xsd="http://www.w3.org/2001/XMLSchema" xmlns:xs="http://www.w3.org/2001/XMLSchema" xmlns:p="http://schemas.microsoft.com/office/2006/metadata/properties" xmlns:ns2="a002be64-2d19-4994-845a-06a1d168ffda" xmlns:ns3="b166859c-622c-4c60-973a-e6f4cc4841ec" targetNamespace="http://schemas.microsoft.com/office/2006/metadata/properties" ma:root="true" ma:fieldsID="47c24dc7f5433ae2a201034b6df65035" ns2:_="" ns3:_="">
    <xsd:import namespace="a002be64-2d19-4994-845a-06a1d168ffda"/>
    <xsd:import namespace="b166859c-622c-4c60-973a-e6f4cc4841e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2be64-2d19-4994-845a-06a1d168ff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66859c-622c-4c60-973a-e6f4cc4841e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A6E85-730C-4D01-8B6F-2AD4368549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3E3A76-C213-4106-B7F4-FCECB57AD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2be64-2d19-4994-845a-06a1d168ffda"/>
    <ds:schemaRef ds:uri="b166859c-622c-4c60-973a-e6f4cc484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CC7196-6E54-404A-9FEE-080D5311E710}">
  <ds:schemaRefs>
    <ds:schemaRef ds:uri="http://schemas.microsoft.com/sharepoint/v3/contenttype/forms"/>
  </ds:schemaRefs>
</ds:datastoreItem>
</file>

<file path=customXml/itemProps4.xml><?xml version="1.0" encoding="utf-8"?>
<ds:datastoreItem xmlns:ds="http://schemas.openxmlformats.org/officeDocument/2006/customXml" ds:itemID="{58F40E33-1B99-4D7F-8E16-EC89365C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9A4225FE</Template>
  <TotalTime>0</TotalTime>
  <Pages>8</Pages>
  <Words>6960</Words>
  <Characters>39674</Characters>
  <Application>Microsoft Office Word</Application>
  <DocSecurity>4</DocSecurity>
  <Lines>330</Lines>
  <Paragraphs>93</Paragraphs>
  <ScaleCrop>false</ScaleCrop>
  <HeadingPairs>
    <vt:vector size="2" baseType="variant">
      <vt:variant>
        <vt:lpstr>Title</vt:lpstr>
      </vt:variant>
      <vt:variant>
        <vt:i4>1</vt:i4>
      </vt:variant>
    </vt:vector>
  </HeadingPairs>
  <TitlesOfParts>
    <vt:vector size="1" baseType="lpstr">
      <vt:lpstr>February 2007</vt:lpstr>
    </vt:vector>
  </TitlesOfParts>
  <Company>CALC</Company>
  <LinksUpToDate>false</LinksUpToDate>
  <CharactersWithSpaces>46541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2007</dc:title>
  <dc:creator>Gerard Brody</dc:creator>
  <cp:lastModifiedBy>juliad</cp:lastModifiedBy>
  <cp:revision>2</cp:revision>
  <cp:lastPrinted>2017-11-01T03:00:00Z</cp:lastPrinted>
  <dcterms:created xsi:type="dcterms:W3CDTF">2017-11-03T01:21:00Z</dcterms:created>
  <dcterms:modified xsi:type="dcterms:W3CDTF">2017-11-03T01:21:00Z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0x01010066D9B596554C2C46B313763ED0A384FB</vt:lpwstr>
  </property>
</Properties>
</file>